
<file path=[Content_Types].xml><?xml version="1.0" encoding="utf-8"?>
<Types xmlns="http://schemas.openxmlformats.org/package/2006/content-types">
  <Default ContentType="image/gif" Extension="gif"/>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42190" w14:textId="53398BF6" w:rsidR="00657236" w:rsidRPr="00180B8D" w:rsidRDefault="00DF1E8F">
      <w:pPr>
        <w:pStyle w:val="P68B1DB1-Normal1"/>
        <w:spacing w:after="0" w:line="240" w:lineRule="auto"/>
        <w:jc w:val="center"/>
        <w:rPr>
          <w:bCs/>
          <w:lang w:val="en-GB"/>
        </w:rPr>
      </w:pPr>
      <w:r w:rsidRPr="00180B8D">
        <w:rPr>
          <w:lang w:val="en-GB"/>
        </w:rPr>
        <w:t>D E C I S I O N</w:t>
      </w:r>
    </w:p>
    <w:p w14:paraId="77D8715E" w14:textId="17154260" w:rsidR="00657236" w:rsidRPr="00180B8D" w:rsidRDefault="00933828">
      <w:pPr>
        <w:pStyle w:val="P68B1DB1-Normal1"/>
        <w:spacing w:after="0" w:line="240" w:lineRule="auto"/>
        <w:jc w:val="center"/>
        <w:rPr>
          <w:bCs/>
          <w:lang w:val="en-GB"/>
        </w:rPr>
      </w:pPr>
      <w:r w:rsidRPr="00180B8D">
        <w:rPr>
          <w:lang w:val="en-GB"/>
        </w:rPr>
        <w:t xml:space="preserve">on the approval of the </w:t>
      </w:r>
      <w:r w:rsidR="00E51307" w:rsidRPr="00180B8D">
        <w:rPr>
          <w:lang w:val="en-GB"/>
        </w:rPr>
        <w:t>Regulation on the t</w:t>
      </w:r>
      <w:r w:rsidRPr="00180B8D">
        <w:rPr>
          <w:lang w:val="en-GB"/>
        </w:rPr>
        <w:t xml:space="preserve">reatment </w:t>
      </w:r>
      <w:r w:rsidR="00E51307" w:rsidRPr="00180B8D">
        <w:rPr>
          <w:lang w:val="en-GB"/>
        </w:rPr>
        <w:t>of</w:t>
      </w:r>
    </w:p>
    <w:p w14:paraId="45821E1B" w14:textId="4BB9E1CB" w:rsidR="00657236" w:rsidRPr="00180B8D" w:rsidRDefault="00E51307">
      <w:pPr>
        <w:pStyle w:val="P68B1DB1-Normal1"/>
        <w:spacing w:after="0" w:line="240" w:lineRule="auto"/>
        <w:jc w:val="center"/>
        <w:rPr>
          <w:bCs/>
          <w:lang w:val="en-GB"/>
        </w:rPr>
      </w:pPr>
      <w:r w:rsidRPr="00180B8D">
        <w:rPr>
          <w:lang w:val="en-GB"/>
        </w:rPr>
        <w:t>Credit Valuation Adjustment risk for banks</w:t>
      </w:r>
    </w:p>
    <w:p w14:paraId="2BC9CE7F" w14:textId="77777777" w:rsidR="00657236" w:rsidRPr="00180B8D" w:rsidRDefault="00D655E7">
      <w:pPr>
        <w:pStyle w:val="P68B1DB1-Normal1"/>
        <w:spacing w:after="0" w:line="240" w:lineRule="auto"/>
        <w:jc w:val="center"/>
        <w:rPr>
          <w:bCs/>
          <w:lang w:val="en-GB"/>
        </w:rPr>
      </w:pPr>
      <w:r w:rsidRPr="00180B8D">
        <w:rPr>
          <w:lang w:val="en-GB"/>
        </w:rPr>
        <w:t> </w:t>
      </w:r>
    </w:p>
    <w:p w14:paraId="7803AC0F" w14:textId="77777777" w:rsidR="00657236" w:rsidRPr="00180B8D" w:rsidRDefault="00D655E7">
      <w:pPr>
        <w:pStyle w:val="P68B1DB1-Normal1"/>
        <w:spacing w:after="0" w:line="240" w:lineRule="auto"/>
        <w:jc w:val="center"/>
        <w:rPr>
          <w:bCs/>
          <w:lang w:val="en-GB"/>
        </w:rPr>
      </w:pPr>
      <w:r w:rsidRPr="00180B8D">
        <w:rPr>
          <w:lang w:val="en-GB"/>
        </w:rPr>
        <w:t>No 119 of 21 May 2026</w:t>
      </w:r>
    </w:p>
    <w:p w14:paraId="3FECB80E" w14:textId="0CEDDBB2" w:rsidR="00657236" w:rsidRPr="00180B8D" w:rsidRDefault="00D655E7">
      <w:pPr>
        <w:pStyle w:val="P68B1DB1-Normal2"/>
        <w:spacing w:after="0" w:line="240" w:lineRule="auto"/>
        <w:jc w:val="center"/>
        <w:rPr>
          <w:lang w:val="en-GB"/>
        </w:rPr>
      </w:pPr>
      <w:r w:rsidRPr="00180B8D">
        <w:rPr>
          <w:lang w:val="en-GB"/>
        </w:rPr>
        <w:t> </w:t>
      </w:r>
      <w:r w:rsidRPr="00180B8D">
        <w:rPr>
          <w:i/>
          <w:lang w:val="en-GB"/>
        </w:rPr>
        <w:t>(in force</w:t>
      </w:r>
      <w:r w:rsidR="00E51307" w:rsidRPr="00180B8D">
        <w:rPr>
          <w:i/>
          <w:lang w:val="en-GB"/>
        </w:rPr>
        <w:t xml:space="preserve"> as of</w:t>
      </w:r>
      <w:r w:rsidRPr="00180B8D">
        <w:rPr>
          <w:i/>
          <w:lang w:val="en-GB"/>
        </w:rPr>
        <w:t xml:space="preserve"> 1</w:t>
      </w:r>
      <w:r w:rsidR="00E51307" w:rsidRPr="00180B8D">
        <w:rPr>
          <w:i/>
          <w:lang w:val="en-GB"/>
        </w:rPr>
        <w:t xml:space="preserve"> January </w:t>
      </w:r>
      <w:r w:rsidRPr="00180B8D">
        <w:rPr>
          <w:i/>
          <w:lang w:val="en-GB"/>
        </w:rPr>
        <w:t xml:space="preserve">2027, with some exceptions - see </w:t>
      </w:r>
      <w:r w:rsidR="002A3787">
        <w:rPr>
          <w:i/>
          <w:lang w:val="en-GB"/>
        </w:rPr>
        <w:t>paragraph</w:t>
      </w:r>
      <w:r w:rsidRPr="00180B8D">
        <w:rPr>
          <w:i/>
          <w:lang w:val="en-GB"/>
        </w:rPr>
        <w:t xml:space="preserve"> 3)</w:t>
      </w:r>
      <w:r w:rsidRPr="00180B8D">
        <w:rPr>
          <w:lang w:val="en-GB"/>
        </w:rPr>
        <w:t> </w:t>
      </w:r>
    </w:p>
    <w:p w14:paraId="775DCD9F" w14:textId="77777777" w:rsidR="00657236" w:rsidRPr="00180B8D" w:rsidRDefault="00D655E7">
      <w:pPr>
        <w:pStyle w:val="P68B1DB1-Normal2"/>
        <w:spacing w:after="0" w:line="240" w:lineRule="auto"/>
        <w:ind w:firstLine="567"/>
        <w:jc w:val="both"/>
        <w:rPr>
          <w:lang w:val="en-GB"/>
        </w:rPr>
      </w:pPr>
      <w:r w:rsidRPr="00180B8D">
        <w:rPr>
          <w:lang w:val="en-GB"/>
        </w:rPr>
        <w:t> </w:t>
      </w:r>
    </w:p>
    <w:p w14:paraId="64A6331D" w14:textId="1BDAF12A" w:rsidR="00657236" w:rsidRPr="00180B8D" w:rsidRDefault="00D655E7">
      <w:pPr>
        <w:pStyle w:val="P68B1DB1-Normal2"/>
        <w:spacing w:after="0" w:line="240" w:lineRule="auto"/>
        <w:jc w:val="center"/>
        <w:rPr>
          <w:lang w:val="en-GB"/>
        </w:rPr>
      </w:pPr>
      <w:r w:rsidRPr="00180B8D">
        <w:rPr>
          <w:lang w:val="en-GB"/>
        </w:rPr>
        <w:t xml:space="preserve">Official </w:t>
      </w:r>
      <w:r w:rsidR="00AA4591" w:rsidRPr="00180B8D">
        <w:rPr>
          <w:lang w:val="en-GB"/>
        </w:rPr>
        <w:t xml:space="preserve">Gazette </w:t>
      </w:r>
      <w:r w:rsidRPr="00180B8D">
        <w:rPr>
          <w:lang w:val="en-GB"/>
        </w:rPr>
        <w:t xml:space="preserve">of the Republic of Moldova </w:t>
      </w:r>
      <w:r w:rsidR="00292392" w:rsidRPr="00180B8D">
        <w:rPr>
          <w:lang w:val="en-GB"/>
        </w:rPr>
        <w:t>N</w:t>
      </w:r>
      <w:r w:rsidRPr="00180B8D">
        <w:rPr>
          <w:lang w:val="en-GB"/>
        </w:rPr>
        <w:t xml:space="preserve">o 221 </w:t>
      </w:r>
      <w:r w:rsidR="00292392" w:rsidRPr="00180B8D">
        <w:rPr>
          <w:lang w:val="en-GB"/>
        </w:rPr>
        <w:t>Article</w:t>
      </w:r>
      <w:r w:rsidRPr="00180B8D">
        <w:rPr>
          <w:lang w:val="en-GB"/>
        </w:rPr>
        <w:t xml:space="preserve"> 391 of 26</w:t>
      </w:r>
      <w:r w:rsidR="00292392" w:rsidRPr="00180B8D">
        <w:rPr>
          <w:lang w:val="en-GB"/>
        </w:rPr>
        <w:t xml:space="preserve"> May </w:t>
      </w:r>
      <w:r w:rsidRPr="00180B8D">
        <w:rPr>
          <w:lang w:val="en-GB"/>
        </w:rPr>
        <w:t>2026</w:t>
      </w:r>
    </w:p>
    <w:p w14:paraId="5703BE2B" w14:textId="77777777" w:rsidR="00657236" w:rsidRPr="00180B8D" w:rsidRDefault="00D655E7">
      <w:pPr>
        <w:pStyle w:val="P68B1DB1-Normal2"/>
        <w:spacing w:after="0" w:line="240" w:lineRule="auto"/>
        <w:ind w:firstLine="567"/>
        <w:jc w:val="both"/>
        <w:rPr>
          <w:lang w:val="en-GB"/>
        </w:rPr>
      </w:pPr>
      <w:r w:rsidRPr="00180B8D">
        <w:rPr>
          <w:lang w:val="en-GB"/>
        </w:rPr>
        <w:t> </w:t>
      </w:r>
    </w:p>
    <w:p w14:paraId="45A36145" w14:textId="77777777" w:rsidR="00657236" w:rsidRPr="00180B8D" w:rsidRDefault="00D655E7">
      <w:pPr>
        <w:pStyle w:val="P68B1DB1-Normal2"/>
        <w:spacing w:after="0" w:line="240" w:lineRule="auto"/>
        <w:jc w:val="center"/>
        <w:rPr>
          <w:lang w:val="en-GB"/>
        </w:rPr>
      </w:pPr>
      <w:r w:rsidRPr="00180B8D">
        <w:rPr>
          <w:lang w:val="en-GB"/>
        </w:rPr>
        <w:t>* * *</w:t>
      </w:r>
    </w:p>
    <w:p w14:paraId="27D77241" w14:textId="77777777" w:rsidR="00657236" w:rsidRPr="00180B8D" w:rsidRDefault="00D655E7">
      <w:pPr>
        <w:pStyle w:val="P68B1DB1-Normal3"/>
        <w:spacing w:after="0" w:line="240" w:lineRule="auto"/>
        <w:jc w:val="right"/>
        <w:rPr>
          <w:lang w:val="en-GB"/>
        </w:rPr>
      </w:pPr>
      <w:r w:rsidRPr="00180B8D">
        <w:rPr>
          <w:lang w:val="en-GB"/>
        </w:rPr>
        <w:t>EU</w:t>
      </w:r>
    </w:p>
    <w:p w14:paraId="0F46E775" w14:textId="7AC955DD" w:rsidR="00657236" w:rsidRPr="00180B8D" w:rsidRDefault="00D655E7">
      <w:pPr>
        <w:pStyle w:val="P68B1DB1-Normal2"/>
        <w:spacing w:after="0" w:line="240" w:lineRule="auto"/>
        <w:ind w:firstLine="567"/>
        <w:jc w:val="both"/>
        <w:rPr>
          <w:lang w:val="en-GB"/>
        </w:rPr>
      </w:pPr>
      <w:r w:rsidRPr="00180B8D">
        <w:rPr>
          <w:lang w:val="en-GB"/>
        </w:rPr>
        <w:t>Pursuant to Article 60</w:t>
      </w:r>
      <w:r w:rsidR="001552B3" w:rsidRPr="00180B8D">
        <w:rPr>
          <w:lang w:val="en-GB"/>
        </w:rPr>
        <w:t xml:space="preserve"> paragraph </w:t>
      </w:r>
      <w:r w:rsidRPr="00180B8D">
        <w:rPr>
          <w:lang w:val="en-GB"/>
        </w:rPr>
        <w:t>(4) and Article 73</w:t>
      </w:r>
      <w:r w:rsidR="001552B3" w:rsidRPr="00180B8D">
        <w:rPr>
          <w:lang w:val="en-GB"/>
        </w:rPr>
        <w:t xml:space="preserve"> paragraph </w:t>
      </w:r>
      <w:r w:rsidRPr="00180B8D">
        <w:rPr>
          <w:lang w:val="en-GB"/>
        </w:rPr>
        <w:t xml:space="preserve">(1) of Law No 202/2017 on </w:t>
      </w:r>
      <w:r w:rsidR="001552B3" w:rsidRPr="00180B8D">
        <w:rPr>
          <w:lang w:val="en-GB"/>
        </w:rPr>
        <w:t xml:space="preserve">the activity of </w:t>
      </w:r>
      <w:r w:rsidRPr="00180B8D">
        <w:rPr>
          <w:lang w:val="en-GB"/>
        </w:rPr>
        <w:t xml:space="preserve">banks (Official </w:t>
      </w:r>
      <w:r w:rsidR="001552B3" w:rsidRPr="00180B8D">
        <w:rPr>
          <w:lang w:val="en-GB"/>
        </w:rPr>
        <w:t xml:space="preserve">Gazette </w:t>
      </w:r>
      <w:r w:rsidRPr="00180B8D">
        <w:rPr>
          <w:lang w:val="en-GB"/>
        </w:rPr>
        <w:t>of the Republic of Moldova, 2017, No 434-439, Article 727), the Executive Board of the National Bank of Moldova</w:t>
      </w:r>
    </w:p>
    <w:p w14:paraId="2E2A1DB1" w14:textId="77777777" w:rsidR="00657236" w:rsidRPr="00180B8D" w:rsidRDefault="00D655E7">
      <w:pPr>
        <w:pStyle w:val="P68B1DB1-Normal1"/>
        <w:spacing w:after="0" w:line="240" w:lineRule="auto"/>
        <w:jc w:val="center"/>
        <w:rPr>
          <w:lang w:val="en-GB"/>
        </w:rPr>
      </w:pPr>
      <w:r w:rsidRPr="00180B8D">
        <w:rPr>
          <w:lang w:val="en-GB"/>
        </w:rPr>
        <w:t>DECIDES:</w:t>
      </w:r>
    </w:p>
    <w:p w14:paraId="20C1CCE5" w14:textId="77777777" w:rsidR="00657236" w:rsidRPr="00180B8D" w:rsidRDefault="00D655E7">
      <w:pPr>
        <w:pStyle w:val="P68B1DB1-Normal2"/>
        <w:spacing w:after="0" w:line="240" w:lineRule="auto"/>
        <w:ind w:firstLine="567"/>
        <w:jc w:val="both"/>
        <w:rPr>
          <w:lang w:val="en-GB"/>
        </w:rPr>
      </w:pPr>
      <w:r w:rsidRPr="00180B8D">
        <w:rPr>
          <w:b/>
          <w:lang w:val="en-GB"/>
        </w:rPr>
        <w:t>1.</w:t>
      </w:r>
      <w:r w:rsidRPr="00180B8D">
        <w:rPr>
          <w:lang w:val="en-GB"/>
        </w:rPr>
        <w:t xml:space="preserve"> The Regulation on the treatment of credit valuation adjustment risk for banks is approved (attached).</w:t>
      </w:r>
    </w:p>
    <w:p w14:paraId="45DE2C81" w14:textId="51C8F625" w:rsidR="00657236" w:rsidRPr="00180B8D" w:rsidRDefault="00D655E7">
      <w:pPr>
        <w:pStyle w:val="P68B1DB1-Normal2"/>
        <w:spacing w:after="0" w:line="240" w:lineRule="auto"/>
        <w:ind w:firstLine="567"/>
        <w:jc w:val="both"/>
        <w:rPr>
          <w:lang w:val="en-GB"/>
        </w:rPr>
      </w:pPr>
      <w:r w:rsidRPr="00180B8D">
        <w:rPr>
          <w:b/>
          <w:lang w:val="en-GB"/>
        </w:rPr>
        <w:t>2.</w:t>
      </w:r>
      <w:r w:rsidRPr="00180B8D">
        <w:rPr>
          <w:lang w:val="en-GB"/>
        </w:rPr>
        <w:t xml:space="preserve"> The Decision of the Executive Board of the National Bank of Moldova </w:t>
      </w:r>
      <w:r w:rsidR="001552B3" w:rsidRPr="00180B8D">
        <w:rPr>
          <w:lang w:val="en-GB"/>
        </w:rPr>
        <w:t>N</w:t>
      </w:r>
      <w:r w:rsidRPr="00180B8D">
        <w:rPr>
          <w:lang w:val="en-GB"/>
        </w:rPr>
        <w:t>o</w:t>
      </w:r>
      <w:r w:rsidR="001552B3" w:rsidRPr="00180B8D">
        <w:rPr>
          <w:lang w:val="en-GB"/>
        </w:rPr>
        <w:t xml:space="preserve"> </w:t>
      </w:r>
      <w:r w:rsidRPr="00180B8D">
        <w:rPr>
          <w:lang w:val="en-GB"/>
        </w:rPr>
        <w:t xml:space="preserve">103/2020 </w:t>
      </w:r>
      <w:r w:rsidR="001552B3" w:rsidRPr="00180B8D">
        <w:rPr>
          <w:lang w:val="en-GB"/>
        </w:rPr>
        <w:t>on the approval of</w:t>
      </w:r>
      <w:r w:rsidRPr="00180B8D">
        <w:rPr>
          <w:lang w:val="en-GB"/>
        </w:rPr>
        <w:t xml:space="preserve"> the Regulation on the treatment of credit valuation adjustment risk for banks (Official </w:t>
      </w:r>
      <w:r w:rsidR="001552B3" w:rsidRPr="00180B8D">
        <w:rPr>
          <w:lang w:val="en-GB"/>
        </w:rPr>
        <w:t xml:space="preserve">Gazette </w:t>
      </w:r>
      <w:r w:rsidRPr="00180B8D">
        <w:rPr>
          <w:lang w:val="en-GB"/>
        </w:rPr>
        <w:t xml:space="preserve">of the Republic of Moldova, 2020, </w:t>
      </w:r>
      <w:r w:rsidR="001552B3" w:rsidRPr="00180B8D">
        <w:rPr>
          <w:lang w:val="en-GB"/>
        </w:rPr>
        <w:t>N</w:t>
      </w:r>
      <w:r w:rsidRPr="00180B8D">
        <w:rPr>
          <w:lang w:val="en-GB"/>
        </w:rPr>
        <w:t>o</w:t>
      </w:r>
      <w:r w:rsidR="001552B3" w:rsidRPr="00180B8D">
        <w:rPr>
          <w:lang w:val="en-GB"/>
        </w:rPr>
        <w:t xml:space="preserve"> </w:t>
      </w:r>
      <w:r w:rsidRPr="00180B8D">
        <w:rPr>
          <w:lang w:val="en-GB"/>
        </w:rPr>
        <w:t xml:space="preserve">118-123, </w:t>
      </w:r>
      <w:r w:rsidR="001552B3" w:rsidRPr="00180B8D">
        <w:rPr>
          <w:lang w:val="en-GB"/>
        </w:rPr>
        <w:t xml:space="preserve">Article </w:t>
      </w:r>
      <w:r w:rsidRPr="00180B8D">
        <w:rPr>
          <w:lang w:val="en-GB"/>
        </w:rPr>
        <w:t xml:space="preserve">465), registered with the Ministry of Justice of the Republic of Moldova under </w:t>
      </w:r>
      <w:r w:rsidR="001552B3" w:rsidRPr="00180B8D">
        <w:rPr>
          <w:lang w:val="en-GB"/>
        </w:rPr>
        <w:t>N</w:t>
      </w:r>
      <w:r w:rsidRPr="00180B8D">
        <w:rPr>
          <w:lang w:val="en-GB"/>
        </w:rPr>
        <w:t>o</w:t>
      </w:r>
      <w:r w:rsidR="001552B3" w:rsidRPr="00180B8D">
        <w:rPr>
          <w:lang w:val="en-GB"/>
        </w:rPr>
        <w:t xml:space="preserve"> </w:t>
      </w:r>
      <w:r w:rsidRPr="00180B8D">
        <w:rPr>
          <w:lang w:val="en-GB"/>
        </w:rPr>
        <w:t>1564 of 8 May 2020, is repealed.</w:t>
      </w:r>
    </w:p>
    <w:p w14:paraId="775E3D5B" w14:textId="45BD70DE" w:rsidR="00657236" w:rsidRPr="00180B8D" w:rsidRDefault="00D655E7">
      <w:pPr>
        <w:pStyle w:val="P68B1DB1-Normal2"/>
        <w:spacing w:after="0" w:line="240" w:lineRule="auto"/>
        <w:ind w:firstLine="567"/>
        <w:jc w:val="both"/>
        <w:rPr>
          <w:lang w:val="en-GB"/>
        </w:rPr>
      </w:pPr>
      <w:r w:rsidRPr="00180B8D">
        <w:rPr>
          <w:b/>
          <w:lang w:val="en-GB"/>
        </w:rPr>
        <w:t>3.</w:t>
      </w:r>
      <w:r w:rsidRPr="00180B8D">
        <w:rPr>
          <w:lang w:val="en-GB"/>
        </w:rPr>
        <w:t xml:space="preserve"> This Decision shall enter into force on 1 January 2027, </w:t>
      </w:r>
      <w:proofErr w:type="gramStart"/>
      <w:r w:rsidRPr="00180B8D">
        <w:rPr>
          <w:lang w:val="en-GB"/>
        </w:rPr>
        <w:t>with the exception of</w:t>
      </w:r>
      <w:proofErr w:type="gramEnd"/>
      <w:r w:rsidRPr="00180B8D">
        <w:rPr>
          <w:lang w:val="en-GB"/>
        </w:rPr>
        <w:t xml:space="preserve"> </w:t>
      </w:r>
      <w:r w:rsidR="008258BF">
        <w:rPr>
          <w:lang w:val="en-GB"/>
        </w:rPr>
        <w:t>paragraph</w:t>
      </w:r>
      <w:r w:rsidR="001552B3" w:rsidRPr="00180B8D">
        <w:rPr>
          <w:lang w:val="en-GB"/>
        </w:rPr>
        <w:t>s</w:t>
      </w:r>
      <w:r w:rsidRPr="00180B8D">
        <w:rPr>
          <w:lang w:val="en-GB"/>
        </w:rPr>
        <w:t xml:space="preserve"> 44, 80 and 81, which shall enter into force on the date of entry into force of the Treaty of Accession of the Republic of Moldova to the European Union.</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042"/>
        <w:gridCol w:w="2196"/>
      </w:tblGrid>
      <w:tr w:rsidR="00657236" w:rsidRPr="00180B8D" w14:paraId="13F9938E" w14:textId="77777777">
        <w:tc>
          <w:tcPr>
            <w:tcW w:w="0" w:type="auto"/>
            <w:tcBorders>
              <w:top w:val="nil"/>
              <w:left w:val="nil"/>
              <w:bottom w:val="nil"/>
              <w:right w:val="nil"/>
            </w:tcBorders>
            <w:tcMar>
              <w:top w:w="24" w:type="dxa"/>
              <w:left w:w="48" w:type="dxa"/>
              <w:bottom w:w="24" w:type="dxa"/>
              <w:right w:w="1680" w:type="dxa"/>
            </w:tcMar>
            <w:hideMark/>
          </w:tcPr>
          <w:p w14:paraId="7564CCDB" w14:textId="7B3B1E55" w:rsidR="00657236" w:rsidRPr="00180B8D" w:rsidRDefault="001552B3">
            <w:pPr>
              <w:pStyle w:val="P68B1DB1-Normal1"/>
              <w:spacing w:after="0" w:line="240" w:lineRule="auto"/>
              <w:rPr>
                <w:bCs/>
                <w:lang w:val="en-GB"/>
              </w:rPr>
            </w:pPr>
            <w:r w:rsidRPr="00180B8D">
              <w:rPr>
                <w:lang w:val="en-GB"/>
              </w:rPr>
              <w:t>CHAIRMAN</w:t>
            </w:r>
          </w:p>
        </w:tc>
        <w:tc>
          <w:tcPr>
            <w:tcW w:w="0" w:type="auto"/>
            <w:tcBorders>
              <w:top w:val="nil"/>
              <w:left w:val="nil"/>
              <w:bottom w:val="nil"/>
              <w:right w:val="nil"/>
            </w:tcBorders>
            <w:tcMar>
              <w:top w:w="24" w:type="dxa"/>
              <w:left w:w="48" w:type="dxa"/>
              <w:bottom w:w="24" w:type="dxa"/>
              <w:right w:w="48" w:type="dxa"/>
            </w:tcMar>
            <w:hideMark/>
          </w:tcPr>
          <w:p w14:paraId="3713F70E" w14:textId="77777777" w:rsidR="00657236" w:rsidRPr="00180B8D" w:rsidRDefault="00657236">
            <w:pPr>
              <w:spacing w:after="0" w:line="240" w:lineRule="auto"/>
              <w:rPr>
                <w:rFonts w:ascii="Times New Roman" w:eastAsia="Times New Roman" w:hAnsi="Times New Roman" w:cs="Times New Roman"/>
                <w:b/>
                <w:bCs/>
                <w:kern w:val="0"/>
                <w:sz w:val="24"/>
                <w:szCs w:val="24"/>
                <w:lang w:val="en-GB"/>
                <w14:ligatures w14:val="none"/>
              </w:rPr>
            </w:pPr>
          </w:p>
        </w:tc>
      </w:tr>
      <w:tr w:rsidR="00657236" w:rsidRPr="00180B8D" w14:paraId="375781DB" w14:textId="77777777">
        <w:tc>
          <w:tcPr>
            <w:tcW w:w="0" w:type="auto"/>
            <w:tcBorders>
              <w:top w:val="nil"/>
              <w:left w:val="nil"/>
              <w:bottom w:val="nil"/>
              <w:right w:val="nil"/>
            </w:tcBorders>
            <w:tcMar>
              <w:top w:w="24" w:type="dxa"/>
              <w:left w:w="48" w:type="dxa"/>
              <w:bottom w:w="24" w:type="dxa"/>
              <w:right w:w="1680" w:type="dxa"/>
            </w:tcMar>
            <w:hideMark/>
          </w:tcPr>
          <w:p w14:paraId="689E5C4A" w14:textId="603DF602" w:rsidR="00657236" w:rsidRPr="00180B8D" w:rsidRDefault="001552B3">
            <w:pPr>
              <w:pStyle w:val="P68B1DB1-Normal1"/>
              <w:spacing w:after="0" w:line="240" w:lineRule="auto"/>
              <w:rPr>
                <w:bCs/>
                <w:lang w:val="en-GB"/>
              </w:rPr>
            </w:pPr>
            <w:r w:rsidRPr="00180B8D">
              <w:rPr>
                <w:lang w:val="en-GB"/>
              </w:rPr>
              <w:t>OF THE EXECUTIVE BOARD</w:t>
            </w:r>
          </w:p>
        </w:tc>
        <w:tc>
          <w:tcPr>
            <w:tcW w:w="0" w:type="auto"/>
            <w:tcBorders>
              <w:top w:val="nil"/>
              <w:left w:val="nil"/>
              <w:bottom w:val="nil"/>
              <w:right w:val="nil"/>
            </w:tcBorders>
            <w:tcMar>
              <w:top w:w="24" w:type="dxa"/>
              <w:left w:w="48" w:type="dxa"/>
              <w:bottom w:w="24" w:type="dxa"/>
              <w:right w:w="48" w:type="dxa"/>
            </w:tcMar>
            <w:hideMark/>
          </w:tcPr>
          <w:p w14:paraId="1E477B72" w14:textId="77777777" w:rsidR="00657236" w:rsidRPr="00180B8D" w:rsidRDefault="00D655E7">
            <w:pPr>
              <w:pStyle w:val="P68B1DB1-Normal1"/>
              <w:spacing w:after="0" w:line="240" w:lineRule="auto"/>
              <w:rPr>
                <w:bCs/>
                <w:lang w:val="en-GB"/>
              </w:rPr>
            </w:pPr>
            <w:r w:rsidRPr="00180B8D">
              <w:rPr>
                <w:lang w:val="en-GB"/>
              </w:rPr>
              <w:t>Anca-Dana DRAGU</w:t>
            </w:r>
          </w:p>
        </w:tc>
      </w:tr>
      <w:tr w:rsidR="00657236" w:rsidRPr="00180B8D" w14:paraId="0EB6065A" w14:textId="77777777">
        <w:tc>
          <w:tcPr>
            <w:tcW w:w="0" w:type="auto"/>
            <w:gridSpan w:val="2"/>
            <w:tcBorders>
              <w:top w:val="nil"/>
              <w:left w:val="nil"/>
              <w:bottom w:val="nil"/>
              <w:right w:val="nil"/>
            </w:tcBorders>
            <w:tcMar>
              <w:top w:w="120" w:type="dxa"/>
              <w:left w:w="48" w:type="dxa"/>
              <w:bottom w:w="24" w:type="dxa"/>
              <w:right w:w="48" w:type="dxa"/>
            </w:tcMar>
            <w:hideMark/>
          </w:tcPr>
          <w:p w14:paraId="331D864D" w14:textId="4413A6BC" w:rsidR="00657236" w:rsidRPr="00180B8D" w:rsidRDefault="00D655E7">
            <w:pPr>
              <w:pStyle w:val="P68B1DB1-Normal1"/>
              <w:spacing w:after="0" w:line="240" w:lineRule="auto"/>
              <w:rPr>
                <w:bCs/>
                <w:lang w:val="en-GB"/>
              </w:rPr>
            </w:pPr>
            <w:r w:rsidRPr="00180B8D">
              <w:rPr>
                <w:lang w:val="en-GB"/>
              </w:rPr>
              <w:t xml:space="preserve">No 119. </w:t>
            </w:r>
            <w:proofErr w:type="spellStart"/>
            <w:r w:rsidRPr="00180B8D">
              <w:rPr>
                <w:lang w:val="en-GB"/>
              </w:rPr>
              <w:t>Chişinău</w:t>
            </w:r>
            <w:proofErr w:type="spellEnd"/>
            <w:r w:rsidRPr="00180B8D">
              <w:rPr>
                <w:lang w:val="en-GB"/>
              </w:rPr>
              <w:t>, 21 May 2026.</w:t>
            </w:r>
          </w:p>
        </w:tc>
      </w:tr>
    </w:tbl>
    <w:p w14:paraId="781E5E05" w14:textId="31829EF6" w:rsidR="00657236" w:rsidRPr="00180B8D" w:rsidRDefault="00D655E7">
      <w:pPr>
        <w:pStyle w:val="P68B1DB1-Normal2"/>
        <w:spacing w:after="0" w:line="240" w:lineRule="auto"/>
        <w:jc w:val="right"/>
        <w:rPr>
          <w:lang w:val="en-GB"/>
        </w:rPr>
      </w:pPr>
      <w:r w:rsidRPr="00180B8D">
        <w:rPr>
          <w:b/>
          <w:lang w:val="en-GB"/>
        </w:rPr>
        <w:t>Annex</w:t>
      </w:r>
      <w:r w:rsidRPr="00180B8D">
        <w:rPr>
          <w:b/>
          <w:lang w:val="en-GB"/>
        </w:rPr>
        <w:br/>
      </w:r>
      <w:r w:rsidR="00DC5F9E" w:rsidRPr="00180B8D">
        <w:rPr>
          <w:lang w:val="en-GB"/>
        </w:rPr>
        <w:t xml:space="preserve">to </w:t>
      </w:r>
      <w:r w:rsidRPr="00180B8D">
        <w:rPr>
          <w:lang w:val="en-GB"/>
        </w:rPr>
        <w:t xml:space="preserve">the Decision of the Executive Board </w:t>
      </w:r>
      <w:r w:rsidRPr="00180B8D">
        <w:rPr>
          <w:lang w:val="en-GB"/>
        </w:rPr>
        <w:br/>
      </w:r>
      <w:r w:rsidR="00DC5F9E" w:rsidRPr="00180B8D">
        <w:rPr>
          <w:lang w:val="en-GB"/>
        </w:rPr>
        <w:t xml:space="preserve">of </w:t>
      </w:r>
      <w:r w:rsidRPr="00180B8D">
        <w:rPr>
          <w:lang w:val="en-GB"/>
        </w:rPr>
        <w:t xml:space="preserve">the National Bank of Moldova </w:t>
      </w:r>
      <w:r w:rsidRPr="00180B8D">
        <w:rPr>
          <w:lang w:val="en-GB"/>
        </w:rPr>
        <w:br/>
        <w:t>No 119 of 21 May 2026</w:t>
      </w:r>
    </w:p>
    <w:p w14:paraId="4009CFEA" w14:textId="77777777" w:rsidR="00657236" w:rsidRPr="00180B8D" w:rsidRDefault="00D655E7">
      <w:pPr>
        <w:pStyle w:val="P68B1DB1-Normal2"/>
        <w:spacing w:after="0" w:line="240" w:lineRule="auto"/>
        <w:jc w:val="center"/>
        <w:rPr>
          <w:lang w:val="en-GB"/>
        </w:rPr>
      </w:pPr>
      <w:r w:rsidRPr="00180B8D">
        <w:rPr>
          <w:lang w:val="en-GB"/>
        </w:rPr>
        <w:t> </w:t>
      </w:r>
    </w:p>
    <w:p w14:paraId="537A25A3" w14:textId="77777777" w:rsidR="00657236" w:rsidRPr="00180B8D" w:rsidRDefault="00D655E7">
      <w:pPr>
        <w:pStyle w:val="P68B1DB1-Normal1"/>
        <w:spacing w:after="0" w:line="240" w:lineRule="auto"/>
        <w:jc w:val="center"/>
        <w:rPr>
          <w:lang w:val="en-GB"/>
        </w:rPr>
      </w:pPr>
      <w:r w:rsidRPr="00180B8D">
        <w:rPr>
          <w:lang w:val="en-GB"/>
        </w:rPr>
        <w:t>REGULATION</w:t>
      </w:r>
    </w:p>
    <w:p w14:paraId="3FC09E05" w14:textId="65DDAB4C" w:rsidR="00651F16" w:rsidRPr="00180B8D" w:rsidRDefault="00D655E7" w:rsidP="00651F16">
      <w:pPr>
        <w:pStyle w:val="P68B1DB1-Normal1"/>
        <w:spacing w:after="0" w:line="240" w:lineRule="auto"/>
        <w:jc w:val="center"/>
        <w:rPr>
          <w:bCs/>
          <w:lang w:val="en-GB"/>
        </w:rPr>
      </w:pPr>
      <w:r w:rsidRPr="00180B8D">
        <w:rPr>
          <w:lang w:val="en-GB"/>
        </w:rPr>
        <w:t xml:space="preserve">on the treatment of </w:t>
      </w:r>
    </w:p>
    <w:p w14:paraId="5B7B002E" w14:textId="77777777" w:rsidR="00651F16" w:rsidRPr="00180B8D" w:rsidRDefault="00651F16" w:rsidP="00651F16">
      <w:pPr>
        <w:pStyle w:val="P68B1DB1-Normal1"/>
        <w:spacing w:after="0" w:line="240" w:lineRule="auto"/>
        <w:jc w:val="center"/>
        <w:rPr>
          <w:bCs/>
          <w:lang w:val="en-GB"/>
        </w:rPr>
      </w:pPr>
      <w:r w:rsidRPr="00180B8D">
        <w:rPr>
          <w:lang w:val="en-GB"/>
        </w:rPr>
        <w:t>Credit Valuation Adjustment risk for banks</w:t>
      </w:r>
    </w:p>
    <w:p w14:paraId="7BBCEDEC" w14:textId="18C2C0CD" w:rsidR="00657236" w:rsidRPr="00180B8D" w:rsidRDefault="00D655E7" w:rsidP="00651F16">
      <w:pPr>
        <w:pStyle w:val="P68B1DB1-Normal1"/>
        <w:spacing w:after="0" w:line="240" w:lineRule="auto"/>
        <w:jc w:val="center"/>
        <w:rPr>
          <w:lang w:val="en-GB"/>
        </w:rPr>
      </w:pPr>
      <w:r w:rsidRPr="00180B8D">
        <w:rPr>
          <w:lang w:val="en-GB"/>
        </w:rPr>
        <w:t> </w:t>
      </w:r>
    </w:p>
    <w:p w14:paraId="1A007A3C" w14:textId="77777777" w:rsidR="00657236" w:rsidRPr="00180B8D" w:rsidRDefault="00D655E7">
      <w:pPr>
        <w:pStyle w:val="P68B1DB1-Normal2"/>
        <w:spacing w:after="0" w:line="240" w:lineRule="auto"/>
        <w:ind w:firstLine="567"/>
        <w:jc w:val="both"/>
        <w:rPr>
          <w:lang w:val="en-GB"/>
        </w:rPr>
      </w:pPr>
      <w:r w:rsidRPr="00180B8D">
        <w:rPr>
          <w:lang w:val="en-GB"/>
        </w:rPr>
        <w:t>This Regulation:</w:t>
      </w:r>
    </w:p>
    <w:p w14:paraId="1F5E213F" w14:textId="20E6FFCA" w:rsidR="00657236" w:rsidRPr="00180B8D" w:rsidRDefault="00D655E7">
      <w:pPr>
        <w:pStyle w:val="P68B1DB1-Normal2"/>
        <w:spacing w:after="0" w:line="240" w:lineRule="auto"/>
        <w:ind w:firstLine="567"/>
        <w:jc w:val="both"/>
        <w:rPr>
          <w:lang w:val="en-GB"/>
        </w:rPr>
      </w:pPr>
      <w:r w:rsidRPr="00180B8D">
        <w:rPr>
          <w:lang w:val="en-GB"/>
        </w:rPr>
        <w:t>- partially transposes (transposes Articles 381, 382</w:t>
      </w:r>
      <w:r w:rsidR="00651F16" w:rsidRPr="00180B8D">
        <w:rPr>
          <w:lang w:val="en-GB"/>
        </w:rPr>
        <w:t xml:space="preserve"> </w:t>
      </w:r>
      <w:r w:rsidRPr="00180B8D">
        <w:rPr>
          <w:lang w:val="en-GB"/>
        </w:rPr>
        <w:t>(1)</w:t>
      </w:r>
      <w:r w:rsidR="00651F16" w:rsidRPr="00180B8D">
        <w:rPr>
          <w:lang w:val="en-GB"/>
        </w:rPr>
        <w:t>-</w:t>
      </w:r>
      <w:r w:rsidRPr="00180B8D">
        <w:rPr>
          <w:lang w:val="en-GB"/>
        </w:rPr>
        <w:t xml:space="preserve">(3), </w:t>
      </w:r>
      <w:r w:rsidR="00651F16" w:rsidRPr="00180B8D">
        <w:rPr>
          <w:lang w:val="en-GB"/>
        </w:rPr>
        <w:t>(</w:t>
      </w:r>
      <w:r w:rsidRPr="00180B8D">
        <w:rPr>
          <w:lang w:val="en-GB"/>
        </w:rPr>
        <w:t>4a</w:t>
      </w:r>
      <w:r w:rsidR="00651F16" w:rsidRPr="00180B8D">
        <w:rPr>
          <w:lang w:val="en-GB"/>
        </w:rPr>
        <w:t>)-</w:t>
      </w:r>
      <w:r w:rsidRPr="00180B8D">
        <w:rPr>
          <w:lang w:val="en-GB"/>
        </w:rPr>
        <w:t xml:space="preserve"> </w:t>
      </w:r>
      <w:r w:rsidR="00651F16" w:rsidRPr="00180B8D">
        <w:rPr>
          <w:lang w:val="en-GB"/>
        </w:rPr>
        <w:t>(</w:t>
      </w:r>
      <w:r w:rsidRPr="00180B8D">
        <w:rPr>
          <w:lang w:val="en-GB"/>
        </w:rPr>
        <w:t>4b), 382a, 383, 383a, 383b, 383c, 383d, 383e, 383f, 383g, 383h, 383i, 383j, 383k, 383l, 383m, 383n, 383o, 383p, 383q, 383r, 383s, 383t, 383u, 383v, 383w, 383x, 383z, 384, 385, 386 and partially transposes Article 382(4)</w:t>
      </w:r>
      <w:r w:rsidR="00651F16" w:rsidRPr="00180B8D">
        <w:rPr>
          <w:lang w:val="en-GB"/>
        </w:rPr>
        <w:t>)</w:t>
      </w:r>
      <w:r w:rsidRPr="00180B8D">
        <w:rPr>
          <w:lang w:val="en-GB"/>
        </w:rPr>
        <w:t xml:space="preserve">  Regulation (EU) No 575/2013 of the European Parliament and of the Council of 26 June 2013 on prudential requirements for credit institutions and investment firms and amending Regulation (EU) No</w:t>
      </w:r>
      <w:r w:rsidR="00651F16" w:rsidRPr="00180B8D">
        <w:rPr>
          <w:lang w:val="en-GB"/>
        </w:rPr>
        <w:t xml:space="preserve"> </w:t>
      </w:r>
      <w:r w:rsidRPr="00180B8D">
        <w:rPr>
          <w:lang w:val="en-GB"/>
        </w:rPr>
        <w:t xml:space="preserve">648/2012, CELEX: 32013R0575, published in the Official Journal of the European Union 176 of </w:t>
      </w:r>
      <w:r w:rsidRPr="00180B8D">
        <w:rPr>
          <w:lang w:val="en-GB"/>
        </w:rPr>
        <w:t>27 June 2013, as last amended by Commission Delegated Regulation (EU) 2025/1496 of 12 June 2025;</w:t>
      </w:r>
    </w:p>
    <w:p w14:paraId="792E325E" w14:textId="00FAE080" w:rsidR="00657236" w:rsidRPr="00180B8D" w:rsidRDefault="00D655E7">
      <w:pPr>
        <w:pStyle w:val="P68B1DB1-Normal2"/>
        <w:spacing w:after="0" w:line="240" w:lineRule="auto"/>
        <w:ind w:firstLine="567"/>
        <w:jc w:val="both"/>
        <w:rPr>
          <w:lang w:val="en-GB"/>
        </w:rPr>
      </w:pPr>
      <w:r w:rsidRPr="00180B8D">
        <w:rPr>
          <w:lang w:val="en-GB"/>
        </w:rPr>
        <w:t xml:space="preserve">- transposes Articles 2, </w:t>
      </w:r>
      <w:r w:rsidR="008258BF">
        <w:rPr>
          <w:lang w:val="en-GB"/>
        </w:rPr>
        <w:t>paragraph</w:t>
      </w:r>
      <w:r w:rsidRPr="00180B8D">
        <w:rPr>
          <w:lang w:val="en-GB"/>
        </w:rPr>
        <w:t>s 8 and 9 (</w:t>
      </w:r>
      <w:r w:rsidR="00651F16" w:rsidRPr="00180B8D">
        <w:rPr>
          <w:lang w:val="en-GB"/>
        </w:rPr>
        <w:t>“</w:t>
      </w:r>
      <w:r w:rsidRPr="00180B8D">
        <w:rPr>
          <w:lang w:val="en-GB"/>
        </w:rPr>
        <w:t>financial counterparty</w:t>
      </w:r>
      <w:r w:rsidR="00651F16" w:rsidRPr="00180B8D">
        <w:rPr>
          <w:lang w:val="en-GB"/>
        </w:rPr>
        <w:t>”</w:t>
      </w:r>
      <w:r w:rsidRPr="00180B8D">
        <w:rPr>
          <w:lang w:val="en-GB"/>
        </w:rPr>
        <w:t xml:space="preserve"> and </w:t>
      </w:r>
      <w:r w:rsidR="00651F16" w:rsidRPr="00180B8D">
        <w:rPr>
          <w:lang w:val="en-GB"/>
        </w:rPr>
        <w:t>“</w:t>
      </w:r>
      <w:r w:rsidRPr="00180B8D">
        <w:rPr>
          <w:lang w:val="en-GB"/>
        </w:rPr>
        <w:t>non-financial counterparty</w:t>
      </w:r>
      <w:r w:rsidR="00651F16" w:rsidRPr="00180B8D">
        <w:rPr>
          <w:lang w:val="en-GB"/>
        </w:rPr>
        <w:t>”</w:t>
      </w:r>
      <w:r w:rsidRPr="00180B8D">
        <w:rPr>
          <w:lang w:val="en-GB"/>
        </w:rPr>
        <w:t>) of Regulation (EU) No 648/2012 of the European Parliament and of the Council of 4 July 2012 on OTC derivatives, central counterparties and trade repositories, CELEX: 32012R0648, published in the Official Journal of the European Union 201 of 27 July 2012, as last amended by Directive (EU) 2025/1 of the European Parliament and of the Council of 27 November 2024.</w:t>
      </w:r>
    </w:p>
    <w:p w14:paraId="7C4F4119" w14:textId="77777777" w:rsidR="00657236" w:rsidRPr="00180B8D" w:rsidRDefault="00D655E7">
      <w:pPr>
        <w:pStyle w:val="P68B1DB1-Normal2"/>
        <w:spacing w:after="0" w:line="240" w:lineRule="auto"/>
        <w:jc w:val="center"/>
        <w:rPr>
          <w:lang w:val="en-GB"/>
        </w:rPr>
      </w:pPr>
      <w:r w:rsidRPr="00180B8D">
        <w:rPr>
          <w:lang w:val="en-GB"/>
        </w:rPr>
        <w:lastRenderedPageBreak/>
        <w:t> </w:t>
      </w:r>
    </w:p>
    <w:p w14:paraId="07814D27" w14:textId="77777777" w:rsidR="00657236" w:rsidRPr="00180B8D" w:rsidRDefault="00D655E7">
      <w:pPr>
        <w:pStyle w:val="P68B1DB1-Normal1"/>
        <w:spacing w:after="0" w:line="240" w:lineRule="auto"/>
        <w:jc w:val="center"/>
        <w:rPr>
          <w:lang w:val="en-GB"/>
        </w:rPr>
      </w:pPr>
      <w:r w:rsidRPr="00180B8D">
        <w:rPr>
          <w:lang w:val="en-GB"/>
        </w:rPr>
        <w:t>CHAPTER I</w:t>
      </w:r>
    </w:p>
    <w:p w14:paraId="06798865" w14:textId="77777777" w:rsidR="00657236" w:rsidRPr="00180B8D" w:rsidRDefault="00D655E7">
      <w:pPr>
        <w:pStyle w:val="P68B1DB1-Normal1"/>
        <w:spacing w:after="0" w:line="240" w:lineRule="auto"/>
        <w:jc w:val="center"/>
        <w:rPr>
          <w:lang w:val="en-GB"/>
        </w:rPr>
      </w:pPr>
      <w:r w:rsidRPr="00180B8D">
        <w:rPr>
          <w:lang w:val="en-GB"/>
        </w:rPr>
        <w:t>GENERAL PROVISIONS</w:t>
      </w:r>
    </w:p>
    <w:p w14:paraId="7F723925" w14:textId="77777777" w:rsidR="00657236" w:rsidRPr="00180B8D" w:rsidRDefault="00D655E7">
      <w:pPr>
        <w:pStyle w:val="P68B1DB1-Normal2"/>
        <w:spacing w:after="0" w:line="240" w:lineRule="auto"/>
        <w:ind w:firstLine="567"/>
        <w:jc w:val="both"/>
        <w:rPr>
          <w:lang w:val="en-GB"/>
        </w:rPr>
      </w:pPr>
      <w:r w:rsidRPr="00180B8D">
        <w:rPr>
          <w:b/>
          <w:lang w:val="en-GB"/>
        </w:rPr>
        <w:t>1.</w:t>
      </w:r>
      <w:r w:rsidRPr="00180B8D">
        <w:rPr>
          <w:lang w:val="en-GB"/>
        </w:rPr>
        <w:t xml:space="preserve"> The Regulation on the treatment of credit valuation adjustment risk for banks (hereinafter – Regulation) lays down the methodology for determining own funds requirements to cover credit valuation adjustment risk (hereinafter – CVA risk) and the conditions that banks </w:t>
      </w:r>
      <w:proofErr w:type="gramStart"/>
      <w:r w:rsidRPr="00180B8D">
        <w:rPr>
          <w:lang w:val="en-GB"/>
        </w:rPr>
        <w:t>have to</w:t>
      </w:r>
      <w:proofErr w:type="gramEnd"/>
      <w:r w:rsidRPr="00180B8D">
        <w:rPr>
          <w:lang w:val="en-GB"/>
        </w:rPr>
        <w:t xml:space="preserve"> comply with in order to use that methodology.</w:t>
      </w:r>
    </w:p>
    <w:p w14:paraId="5C0731F5" w14:textId="77777777" w:rsidR="00657236" w:rsidRPr="00180B8D" w:rsidRDefault="00D655E7">
      <w:pPr>
        <w:pStyle w:val="P68B1DB1-Normal2"/>
        <w:spacing w:after="0" w:line="240" w:lineRule="auto"/>
        <w:ind w:firstLine="567"/>
        <w:jc w:val="both"/>
        <w:rPr>
          <w:lang w:val="en-GB"/>
        </w:rPr>
      </w:pPr>
      <w:r w:rsidRPr="00180B8D">
        <w:rPr>
          <w:b/>
          <w:lang w:val="en-GB"/>
        </w:rPr>
        <w:t>2.</w:t>
      </w:r>
      <w:r w:rsidRPr="00180B8D">
        <w:rPr>
          <w:lang w:val="en-GB"/>
        </w:rPr>
        <w:t xml:space="preserve"> The Regulation applies to banks that are legal entities of the Republic of Moldova, including their branches abroad, as well as to branches of banks of other states, </w:t>
      </w:r>
      <w:proofErr w:type="gramStart"/>
      <w:r w:rsidRPr="00180B8D">
        <w:rPr>
          <w:lang w:val="en-GB"/>
        </w:rPr>
        <w:t>with regard to</w:t>
      </w:r>
      <w:proofErr w:type="gramEnd"/>
      <w:r w:rsidRPr="00180B8D">
        <w:rPr>
          <w:lang w:val="en-GB"/>
        </w:rPr>
        <w:t xml:space="preserve"> their activity in the Republic of Moldova, hereinafter referred to as banks.</w:t>
      </w:r>
    </w:p>
    <w:p w14:paraId="1B14650A" w14:textId="77777777" w:rsidR="00657236" w:rsidRPr="00180B8D" w:rsidRDefault="00D655E7">
      <w:pPr>
        <w:pStyle w:val="P68B1DB1-Normal2"/>
        <w:spacing w:after="0" w:line="240" w:lineRule="auto"/>
        <w:ind w:firstLine="567"/>
        <w:jc w:val="both"/>
        <w:rPr>
          <w:lang w:val="en-GB"/>
        </w:rPr>
      </w:pPr>
      <w:r w:rsidRPr="00180B8D">
        <w:rPr>
          <w:b/>
          <w:lang w:val="en-GB"/>
        </w:rPr>
        <w:t>3.</w:t>
      </w:r>
      <w:r w:rsidRPr="00180B8D">
        <w:rPr>
          <w:lang w:val="en-GB"/>
        </w:rPr>
        <w:t xml:space="preserve"> For the purposes of calculating the own funds requirements for CVA risk, the following definitions shall apply:</w:t>
      </w:r>
    </w:p>
    <w:p w14:paraId="7874ECB9" w14:textId="0362DCC7" w:rsidR="00657236" w:rsidRPr="00180B8D" w:rsidRDefault="00D655E7">
      <w:pPr>
        <w:pStyle w:val="P68B1DB1-Normal2"/>
        <w:spacing w:after="0" w:line="240" w:lineRule="auto"/>
        <w:ind w:firstLine="567"/>
        <w:jc w:val="both"/>
        <w:rPr>
          <w:lang w:val="en-GB"/>
        </w:rPr>
      </w:pPr>
      <w:r w:rsidRPr="00180B8D">
        <w:rPr>
          <w:lang w:val="en-GB"/>
        </w:rPr>
        <w:t xml:space="preserve">3.1. </w:t>
      </w:r>
      <w:r w:rsidRPr="00180B8D">
        <w:rPr>
          <w:i/>
          <w:lang w:val="en-GB"/>
        </w:rPr>
        <w:t>Credit</w:t>
      </w:r>
      <w:r w:rsidRPr="00180B8D">
        <w:rPr>
          <w:lang w:val="en-GB"/>
        </w:rPr>
        <w:t xml:space="preserve"> </w:t>
      </w:r>
      <w:r w:rsidRPr="00180B8D">
        <w:rPr>
          <w:i/>
          <w:lang w:val="en-GB"/>
        </w:rPr>
        <w:t>Valuation Adjustment (CVA)</w:t>
      </w:r>
      <w:r w:rsidRPr="00180B8D">
        <w:rPr>
          <w:lang w:val="en-GB"/>
        </w:rPr>
        <w:t xml:space="preserve"> - an adjustment to the average market rate of the portfolio of transactions </w:t>
      </w:r>
      <w:proofErr w:type="gramStart"/>
      <w:r w:rsidRPr="00180B8D">
        <w:rPr>
          <w:lang w:val="en-GB"/>
        </w:rPr>
        <w:t>entered into</w:t>
      </w:r>
      <w:proofErr w:type="gramEnd"/>
      <w:r w:rsidRPr="00180B8D">
        <w:rPr>
          <w:lang w:val="en-GB"/>
        </w:rPr>
        <w:t xml:space="preserve"> with a counterparty. This adjustment reflects the current market value of the credit risk that the counterparty represents for the </w:t>
      </w:r>
      <w:proofErr w:type="gramStart"/>
      <w:r w:rsidRPr="00180B8D">
        <w:rPr>
          <w:lang w:val="en-GB"/>
        </w:rPr>
        <w:t>bank, but</w:t>
      </w:r>
      <w:proofErr w:type="gramEnd"/>
      <w:r w:rsidRPr="00180B8D">
        <w:rPr>
          <w:lang w:val="en-GB"/>
        </w:rPr>
        <w:t xml:space="preserve"> does not reflect the current market value of the credit risk that the bank represents for the counterparty.</w:t>
      </w:r>
    </w:p>
    <w:p w14:paraId="38AA68F9" w14:textId="77777777" w:rsidR="00657236" w:rsidRPr="00180B8D" w:rsidRDefault="00D655E7">
      <w:pPr>
        <w:pStyle w:val="P68B1DB1-Normal2"/>
        <w:spacing w:after="0" w:line="240" w:lineRule="auto"/>
        <w:ind w:firstLine="567"/>
        <w:jc w:val="both"/>
        <w:rPr>
          <w:lang w:val="en-GB"/>
        </w:rPr>
      </w:pPr>
      <w:r w:rsidRPr="00180B8D">
        <w:rPr>
          <w:lang w:val="en-GB"/>
        </w:rPr>
        <w:t xml:space="preserve">3.2. </w:t>
      </w:r>
      <w:r w:rsidRPr="00180B8D">
        <w:rPr>
          <w:i/>
          <w:lang w:val="en-GB"/>
        </w:rPr>
        <w:t>risk class</w:t>
      </w:r>
      <w:r w:rsidRPr="00180B8D">
        <w:rPr>
          <w:lang w:val="en-GB"/>
        </w:rPr>
        <w:t xml:space="preserve"> - any of the following categories: interest rate risk; the credit spread risk of the counterparty; reference spread risk; equity risk; commodity risk; foreign exchange </w:t>
      </w:r>
      <w:proofErr w:type="gramStart"/>
      <w:r w:rsidRPr="00180B8D">
        <w:rPr>
          <w:lang w:val="en-GB"/>
        </w:rPr>
        <w:t>risk;</w:t>
      </w:r>
      <w:proofErr w:type="gramEnd"/>
    </w:p>
    <w:p w14:paraId="7C89E45B" w14:textId="77777777" w:rsidR="00657236" w:rsidRPr="00180B8D" w:rsidRDefault="00D655E7">
      <w:pPr>
        <w:pStyle w:val="P68B1DB1-Normal2"/>
        <w:spacing w:after="0" w:line="240" w:lineRule="auto"/>
        <w:ind w:firstLine="567"/>
        <w:jc w:val="both"/>
        <w:rPr>
          <w:lang w:val="en-GB"/>
        </w:rPr>
      </w:pPr>
      <w:r w:rsidRPr="00180B8D">
        <w:rPr>
          <w:lang w:val="en-GB"/>
        </w:rPr>
        <w:t xml:space="preserve">3.3. </w:t>
      </w:r>
      <w:r w:rsidRPr="00180B8D">
        <w:rPr>
          <w:i/>
          <w:lang w:val="en-GB"/>
        </w:rPr>
        <w:t>financial counterparty</w:t>
      </w:r>
      <w:r w:rsidRPr="00180B8D">
        <w:rPr>
          <w:lang w:val="en-GB"/>
        </w:rPr>
        <w:t xml:space="preserve"> - an investment company; a bank; an insurance undertaking or a reinsurance undertaking; an undertaking for collective investment in transferable securities (hereinafter UCITS) and, where applicable, its management company, unless the UCITS is established solely for the purpose of serving one or more employee share purchase plans; an institution for occupational retirement provision (IORP); both an alternative investment fund (AIF) which is either established in the EU Member States or</w:t>
      </w:r>
      <w:r w:rsidRPr="00180B8D">
        <w:rPr>
          <w:lang w:val="en-GB"/>
        </w:rPr>
        <w:t xml:space="preserve"> in the Republic of Moldova or is managed by an alternative investment fund manager (AIFM), unless the AIF is established solely for the purpose of serving one or more employee share purchase plans or the AIF is a securitisation special purpose entity, and, where applicable, the AIFM established in the EU Member States or in the Republic of Moldova of that fund; The single central securities depository.</w:t>
      </w:r>
    </w:p>
    <w:p w14:paraId="510A7756" w14:textId="77777777" w:rsidR="00657236" w:rsidRPr="00180B8D" w:rsidRDefault="00D655E7">
      <w:pPr>
        <w:pStyle w:val="P68B1DB1-Normal2"/>
        <w:spacing w:after="0" w:line="240" w:lineRule="auto"/>
        <w:ind w:firstLine="567"/>
        <w:jc w:val="both"/>
        <w:rPr>
          <w:lang w:val="en-GB"/>
        </w:rPr>
      </w:pPr>
      <w:r w:rsidRPr="00180B8D">
        <w:rPr>
          <w:lang w:val="en-GB"/>
        </w:rPr>
        <w:t xml:space="preserve">3.4. </w:t>
      </w:r>
      <w:r w:rsidRPr="00180B8D">
        <w:rPr>
          <w:i/>
          <w:lang w:val="en-GB"/>
        </w:rPr>
        <w:t>non-financial counterparty -</w:t>
      </w:r>
      <w:r w:rsidRPr="00180B8D">
        <w:rPr>
          <w:lang w:val="en-GB"/>
        </w:rPr>
        <w:t xml:space="preserve"> an entity established in the EU Member States or in the Republic of Moldova, other than the entities referred to in the definition of financial counterparty and representing an entity which is not a financial sector </w:t>
      </w:r>
      <w:proofErr w:type="gramStart"/>
      <w:r w:rsidRPr="00180B8D">
        <w:rPr>
          <w:lang w:val="en-GB"/>
        </w:rPr>
        <w:t>entity</w:t>
      </w:r>
      <w:proofErr w:type="gramEnd"/>
      <w:r w:rsidRPr="00180B8D">
        <w:rPr>
          <w:lang w:val="en-GB"/>
        </w:rPr>
        <w:t xml:space="preserve"> but which can participate in financial transactions, in particular derivatives;</w:t>
      </w:r>
    </w:p>
    <w:p w14:paraId="1990F6E3" w14:textId="734539E3" w:rsidR="00657236" w:rsidRPr="00180B8D" w:rsidRDefault="00D655E7">
      <w:pPr>
        <w:pStyle w:val="P68B1DB1-Normal2"/>
        <w:spacing w:after="0" w:line="240" w:lineRule="auto"/>
        <w:ind w:firstLine="567"/>
        <w:jc w:val="both"/>
        <w:rPr>
          <w:lang w:val="en-GB"/>
        </w:rPr>
      </w:pPr>
      <w:r w:rsidRPr="00180B8D">
        <w:rPr>
          <w:lang w:val="en-GB"/>
        </w:rPr>
        <w:t xml:space="preserve">3.5. </w:t>
      </w:r>
      <w:r w:rsidR="00CE22AC" w:rsidRPr="00180B8D">
        <w:rPr>
          <w:i/>
          <w:lang w:val="en-GB"/>
        </w:rPr>
        <w:t>a</w:t>
      </w:r>
      <w:r w:rsidRPr="00180B8D">
        <w:rPr>
          <w:i/>
          <w:lang w:val="en-GB"/>
        </w:rPr>
        <w:t>ggregate CVA -</w:t>
      </w:r>
      <w:r w:rsidRPr="00180B8D">
        <w:rPr>
          <w:lang w:val="en-GB"/>
        </w:rPr>
        <w:t xml:space="preserve"> the sum of CVAs calculated using the regulatory CVA model for the counterparties referred to in </w:t>
      </w:r>
      <w:r w:rsidR="002A3787">
        <w:rPr>
          <w:lang w:val="en-GB"/>
        </w:rPr>
        <w:t>paragraph</w:t>
      </w:r>
      <w:r w:rsidRPr="00180B8D">
        <w:rPr>
          <w:lang w:val="en-GB"/>
        </w:rPr>
        <w:t xml:space="preserve"> </w:t>
      </w:r>
      <w:proofErr w:type="gramStart"/>
      <w:r w:rsidRPr="00180B8D">
        <w:rPr>
          <w:lang w:val="en-GB"/>
        </w:rPr>
        <w:t>17;</w:t>
      </w:r>
      <w:proofErr w:type="gramEnd"/>
    </w:p>
    <w:p w14:paraId="695C115E" w14:textId="1FBD14A9" w:rsidR="00657236" w:rsidRPr="00180B8D" w:rsidRDefault="00D655E7">
      <w:pPr>
        <w:pStyle w:val="P68B1DB1-Normal2"/>
        <w:spacing w:after="0" w:line="240" w:lineRule="auto"/>
        <w:ind w:firstLine="567"/>
        <w:jc w:val="both"/>
        <w:rPr>
          <w:lang w:val="en-GB"/>
        </w:rPr>
      </w:pPr>
      <w:r w:rsidRPr="00180B8D">
        <w:rPr>
          <w:lang w:val="en-GB"/>
        </w:rPr>
        <w:t xml:space="preserve">3.6. </w:t>
      </w:r>
      <w:r w:rsidR="00CE22AC" w:rsidRPr="00180B8D">
        <w:rPr>
          <w:i/>
          <w:lang w:val="en-GB"/>
        </w:rPr>
        <w:t>r</w:t>
      </w:r>
      <w:r w:rsidRPr="00180B8D">
        <w:rPr>
          <w:i/>
          <w:lang w:val="en-GB"/>
        </w:rPr>
        <w:t>egulatory CVA -</w:t>
      </w:r>
      <w:r w:rsidRPr="00180B8D">
        <w:rPr>
          <w:lang w:val="en-GB"/>
        </w:rPr>
        <w:t xml:space="preserve"> the adjustment of the value of a financial instrument designed to reflect counterparty credit risk, calculated in accordance with the capital requirements set by the National Bank of Moldova, including, but not limited to, credit risk regulations for OTC transactions and </w:t>
      </w:r>
      <w:proofErr w:type="gramStart"/>
      <w:r w:rsidRPr="00180B8D">
        <w:rPr>
          <w:lang w:val="en-GB"/>
        </w:rPr>
        <w:t>derivatives;</w:t>
      </w:r>
      <w:proofErr w:type="gramEnd"/>
    </w:p>
    <w:p w14:paraId="0C13381D" w14:textId="7D5EDF51" w:rsidR="00657236" w:rsidRPr="00180B8D" w:rsidRDefault="00D655E7">
      <w:pPr>
        <w:pStyle w:val="P68B1DB1-Normal2"/>
        <w:spacing w:after="0" w:line="240" w:lineRule="auto"/>
        <w:ind w:firstLine="567"/>
        <w:jc w:val="both"/>
        <w:rPr>
          <w:lang w:val="en-GB"/>
        </w:rPr>
      </w:pPr>
      <w:r w:rsidRPr="00180B8D">
        <w:rPr>
          <w:lang w:val="en-GB"/>
        </w:rPr>
        <w:t xml:space="preserve">3.7. </w:t>
      </w:r>
      <w:r w:rsidRPr="00180B8D">
        <w:rPr>
          <w:i/>
          <w:lang w:val="en-GB"/>
        </w:rPr>
        <w:t xml:space="preserve">CVA </w:t>
      </w:r>
      <w:r w:rsidRPr="00180B8D">
        <w:rPr>
          <w:i/>
          <w:lang w:val="en-GB"/>
        </w:rPr>
        <w:t>portfolio</w:t>
      </w:r>
      <w:r w:rsidRPr="00180B8D">
        <w:rPr>
          <w:lang w:val="en-GB"/>
        </w:rPr>
        <w:t xml:space="preserve"> - the portfolio composed of the aggregate </w:t>
      </w:r>
      <w:proofErr w:type="gramStart"/>
      <w:r w:rsidRPr="00180B8D">
        <w:rPr>
          <w:lang w:val="en-GB"/>
        </w:rPr>
        <w:t>CVA</w:t>
      </w:r>
      <w:proofErr w:type="gramEnd"/>
      <w:r w:rsidRPr="00180B8D">
        <w:rPr>
          <w:lang w:val="en-GB"/>
        </w:rPr>
        <w:t xml:space="preserve"> and the eligible hedges referred to in </w:t>
      </w:r>
      <w:r w:rsidR="00CE22AC" w:rsidRPr="00180B8D">
        <w:rPr>
          <w:lang w:val="en-GB"/>
        </w:rPr>
        <w:t>sub</w:t>
      </w:r>
      <w:r w:rsidRPr="00180B8D">
        <w:rPr>
          <w:lang w:val="en-GB"/>
        </w:rPr>
        <w:t>p</w:t>
      </w:r>
      <w:r w:rsidR="002A3787">
        <w:rPr>
          <w:lang w:val="en-GB"/>
        </w:rPr>
        <w:t>aragraph</w:t>
      </w:r>
      <w:r w:rsidRPr="00180B8D">
        <w:rPr>
          <w:lang w:val="en-GB"/>
        </w:rPr>
        <w:t xml:space="preserve"> 17.4.;</w:t>
      </w:r>
    </w:p>
    <w:p w14:paraId="585C78C4" w14:textId="2108CBBE" w:rsidR="00657236" w:rsidRPr="00180B8D" w:rsidRDefault="00D655E7">
      <w:pPr>
        <w:pStyle w:val="P68B1DB1-Normal2"/>
        <w:spacing w:after="0" w:line="240" w:lineRule="auto"/>
        <w:ind w:firstLine="567"/>
        <w:jc w:val="both"/>
        <w:rPr>
          <w:lang w:val="en-GB"/>
        </w:rPr>
      </w:pPr>
      <w:r w:rsidRPr="00180B8D">
        <w:rPr>
          <w:lang w:val="en-GB"/>
        </w:rPr>
        <w:t xml:space="preserve">3.8. </w:t>
      </w:r>
      <w:r w:rsidRPr="00180B8D">
        <w:rPr>
          <w:i/>
          <w:lang w:val="en-GB"/>
        </w:rPr>
        <w:t>CVA risk -</w:t>
      </w:r>
      <w:r w:rsidRPr="00180B8D">
        <w:rPr>
          <w:lang w:val="en-GB"/>
        </w:rPr>
        <w:t xml:space="preserve"> the risk of losses resulting from changes in the value of the CVA, calculated for the portfolio of transactions with a counterparty as defined in the definition of </w:t>
      </w:r>
      <w:r w:rsidR="00CE22AC" w:rsidRPr="00180B8D">
        <w:rPr>
          <w:lang w:val="en-GB"/>
        </w:rPr>
        <w:t>“</w:t>
      </w:r>
      <w:r w:rsidRPr="00180B8D">
        <w:rPr>
          <w:lang w:val="en-GB"/>
        </w:rPr>
        <w:t>credit valuation adjustment</w:t>
      </w:r>
      <w:r w:rsidR="00CE22AC" w:rsidRPr="00180B8D">
        <w:rPr>
          <w:lang w:val="en-GB"/>
        </w:rPr>
        <w:t>”</w:t>
      </w:r>
      <w:r w:rsidRPr="00180B8D">
        <w:rPr>
          <w:lang w:val="en-GB"/>
        </w:rPr>
        <w:t xml:space="preserve"> or </w:t>
      </w:r>
      <w:r w:rsidR="00CE22AC" w:rsidRPr="00180B8D">
        <w:rPr>
          <w:lang w:val="en-GB"/>
        </w:rPr>
        <w:t>“</w:t>
      </w:r>
      <w:r w:rsidRPr="00180B8D">
        <w:rPr>
          <w:lang w:val="en-GB"/>
        </w:rPr>
        <w:t>CVA</w:t>
      </w:r>
      <w:r w:rsidR="00CE22AC" w:rsidRPr="00180B8D">
        <w:rPr>
          <w:lang w:val="en-GB"/>
        </w:rPr>
        <w:t>”</w:t>
      </w:r>
      <w:r w:rsidRPr="00180B8D">
        <w:rPr>
          <w:lang w:val="en-GB"/>
        </w:rPr>
        <w:t xml:space="preserve"> due to changes in the credit spread risk factors of a counterparty and changes in other risk factors incorporated into the portfolio of transactions.</w:t>
      </w:r>
    </w:p>
    <w:p w14:paraId="6E91D4F0" w14:textId="77777777" w:rsidR="00657236" w:rsidRPr="00180B8D" w:rsidRDefault="00D655E7">
      <w:pPr>
        <w:pStyle w:val="P68B1DB1-Normal2"/>
        <w:spacing w:after="0" w:line="240" w:lineRule="auto"/>
        <w:ind w:firstLine="567"/>
        <w:jc w:val="both"/>
        <w:rPr>
          <w:lang w:val="en-GB"/>
        </w:rPr>
      </w:pPr>
      <w:r w:rsidRPr="00180B8D">
        <w:rPr>
          <w:lang w:val="en-GB"/>
        </w:rPr>
        <w:t> </w:t>
      </w:r>
    </w:p>
    <w:p w14:paraId="6BA2DDF1" w14:textId="77777777" w:rsidR="00657236" w:rsidRPr="00180B8D" w:rsidRDefault="00D655E7">
      <w:pPr>
        <w:pStyle w:val="P68B1DB1-Normal1"/>
        <w:spacing w:after="0" w:line="240" w:lineRule="auto"/>
        <w:jc w:val="center"/>
        <w:rPr>
          <w:lang w:val="en-GB"/>
        </w:rPr>
      </w:pPr>
      <w:r w:rsidRPr="00180B8D">
        <w:rPr>
          <w:lang w:val="en-GB"/>
        </w:rPr>
        <w:t>CHAPTER II</w:t>
      </w:r>
    </w:p>
    <w:p w14:paraId="62294FF9" w14:textId="77777777" w:rsidR="00657236" w:rsidRPr="00180B8D" w:rsidRDefault="00D655E7">
      <w:pPr>
        <w:pStyle w:val="P68B1DB1-Normal1"/>
        <w:spacing w:after="0" w:line="240" w:lineRule="auto"/>
        <w:jc w:val="center"/>
        <w:rPr>
          <w:lang w:val="en-GB"/>
        </w:rPr>
      </w:pPr>
      <w:r w:rsidRPr="00180B8D">
        <w:rPr>
          <w:lang w:val="en-GB"/>
        </w:rPr>
        <w:t>SCOPE</w:t>
      </w:r>
    </w:p>
    <w:p w14:paraId="65EDF32C" w14:textId="77777777" w:rsidR="00657236" w:rsidRPr="00180B8D" w:rsidRDefault="00D655E7">
      <w:pPr>
        <w:pStyle w:val="P68B1DB1-Normal2"/>
        <w:spacing w:after="0" w:line="240" w:lineRule="auto"/>
        <w:ind w:firstLine="567"/>
        <w:jc w:val="both"/>
        <w:rPr>
          <w:lang w:val="en-GB"/>
        </w:rPr>
      </w:pPr>
      <w:r w:rsidRPr="00180B8D">
        <w:rPr>
          <w:b/>
          <w:lang w:val="en-GB"/>
        </w:rPr>
        <w:t>4.</w:t>
      </w:r>
      <w:r w:rsidRPr="00180B8D">
        <w:rPr>
          <w:lang w:val="en-GB"/>
        </w:rPr>
        <w:t xml:space="preserve"> The Bank shall calculate the own funds requirements for CVA risk for all OTC derivatives in respect of all its activities other than credit derivatives recognised </w:t>
      </w:r>
      <w:proofErr w:type="gramStart"/>
      <w:r w:rsidRPr="00180B8D">
        <w:rPr>
          <w:lang w:val="en-GB"/>
        </w:rPr>
        <w:t>in order to</w:t>
      </w:r>
      <w:proofErr w:type="gramEnd"/>
      <w:r w:rsidRPr="00180B8D">
        <w:rPr>
          <w:lang w:val="en-GB"/>
        </w:rPr>
        <w:t xml:space="preserve"> reduce risk-weighted exposure amounts for credit risk.</w:t>
      </w:r>
    </w:p>
    <w:p w14:paraId="7496D884" w14:textId="07186E4E" w:rsidR="00657236" w:rsidRPr="00180B8D" w:rsidRDefault="00D655E7">
      <w:pPr>
        <w:pStyle w:val="P68B1DB1-Normal2"/>
        <w:spacing w:after="0" w:line="240" w:lineRule="auto"/>
        <w:ind w:firstLine="567"/>
        <w:jc w:val="both"/>
        <w:rPr>
          <w:lang w:val="en-GB"/>
        </w:rPr>
      </w:pPr>
      <w:r w:rsidRPr="00180B8D">
        <w:rPr>
          <w:b/>
          <w:lang w:val="en-GB"/>
        </w:rPr>
        <w:t>5.</w:t>
      </w:r>
      <w:r w:rsidRPr="00180B8D">
        <w:rPr>
          <w:lang w:val="en-GB"/>
        </w:rPr>
        <w:t xml:space="preserve"> The bank shall include in the calculation of own funds set out in </w:t>
      </w:r>
      <w:r w:rsidR="002A3787">
        <w:rPr>
          <w:lang w:val="en-GB"/>
        </w:rPr>
        <w:t>paragraph</w:t>
      </w:r>
      <w:r w:rsidRPr="00180B8D">
        <w:rPr>
          <w:lang w:val="en-GB"/>
        </w:rPr>
        <w:t xml:space="preserve"> 4 securities financing operations that are measured at fair value in accordance with the accounting framework </w:t>
      </w:r>
      <w:r w:rsidRPr="00180B8D">
        <w:rPr>
          <w:lang w:val="en-GB"/>
        </w:rPr>
        <w:lastRenderedPageBreak/>
        <w:t>applicable to the bank where the bank’s CVA risk exposures arising from those operations are material.</w:t>
      </w:r>
    </w:p>
    <w:p w14:paraId="59FD319E" w14:textId="77777777" w:rsidR="00657236" w:rsidRPr="00180B8D" w:rsidRDefault="00D655E7">
      <w:pPr>
        <w:pStyle w:val="P68B1DB1-Normal2"/>
        <w:spacing w:after="0" w:line="240" w:lineRule="auto"/>
        <w:ind w:firstLine="567"/>
        <w:jc w:val="both"/>
        <w:rPr>
          <w:lang w:val="en-GB"/>
        </w:rPr>
      </w:pPr>
      <w:r w:rsidRPr="00180B8D">
        <w:rPr>
          <w:b/>
          <w:lang w:val="en-GB"/>
        </w:rPr>
        <w:t>6.</w:t>
      </w:r>
      <w:r w:rsidRPr="00180B8D">
        <w:rPr>
          <w:lang w:val="en-GB"/>
        </w:rPr>
        <w:t xml:space="preserve"> Transactions with a qualified central counterparty (hereinafter QCCP) and transactions between a client and a clearing member where the clearing member acts as an intermediary between the client and a QCCP and the transactions give rise to a trade exposure of the clearing member to the QCCP shall be excluded from the application of own funds requirements for CVA risk.</w:t>
      </w:r>
    </w:p>
    <w:p w14:paraId="6165695E" w14:textId="77777777" w:rsidR="00657236" w:rsidRPr="00180B8D" w:rsidRDefault="00D655E7">
      <w:pPr>
        <w:pStyle w:val="P68B1DB1-Normal2"/>
        <w:spacing w:after="0" w:line="240" w:lineRule="auto"/>
        <w:ind w:firstLine="567"/>
        <w:jc w:val="both"/>
        <w:rPr>
          <w:lang w:val="en-GB"/>
        </w:rPr>
      </w:pPr>
      <w:r w:rsidRPr="00180B8D">
        <w:rPr>
          <w:b/>
          <w:lang w:val="en-GB"/>
        </w:rPr>
        <w:t>7.</w:t>
      </w:r>
      <w:r w:rsidRPr="00180B8D">
        <w:rPr>
          <w:lang w:val="en-GB"/>
        </w:rPr>
        <w:t xml:space="preserve"> The following transactions are excluded from the application of the own </w:t>
      </w:r>
      <w:proofErr w:type="gramStart"/>
      <w:r w:rsidRPr="00180B8D">
        <w:rPr>
          <w:lang w:val="en-GB"/>
        </w:rPr>
        <w:t>funds</w:t>
      </w:r>
      <w:proofErr w:type="gramEnd"/>
      <w:r w:rsidRPr="00180B8D">
        <w:rPr>
          <w:lang w:val="en-GB"/>
        </w:rPr>
        <w:t xml:space="preserve"> requirements for CVA risk:</w:t>
      </w:r>
    </w:p>
    <w:p w14:paraId="0A88155E" w14:textId="77777777" w:rsidR="00657236" w:rsidRPr="00180B8D" w:rsidRDefault="00D655E7">
      <w:pPr>
        <w:pStyle w:val="P68B1DB1-Normal2"/>
        <w:spacing w:after="0" w:line="240" w:lineRule="auto"/>
        <w:ind w:firstLine="567"/>
        <w:jc w:val="both"/>
        <w:rPr>
          <w:lang w:val="en-GB"/>
        </w:rPr>
      </w:pPr>
      <w:r w:rsidRPr="00180B8D">
        <w:rPr>
          <w:lang w:val="en-GB"/>
        </w:rPr>
        <w:t xml:space="preserve">7.1. transactions with non-financial counterparties established in the EU Member States, in the Republic of Moldova or with non-financial counterparties established in a third </w:t>
      </w:r>
      <w:proofErr w:type="gramStart"/>
      <w:r w:rsidRPr="00180B8D">
        <w:rPr>
          <w:lang w:val="en-GB"/>
        </w:rPr>
        <w:t>country;</w:t>
      </w:r>
      <w:proofErr w:type="gramEnd"/>
    </w:p>
    <w:p w14:paraId="21A85EF0" w14:textId="0F3BE659" w:rsidR="00657236" w:rsidRPr="00180B8D" w:rsidRDefault="00D655E7">
      <w:pPr>
        <w:pStyle w:val="P68B1DB1-Normal2"/>
        <w:spacing w:after="0" w:line="240" w:lineRule="auto"/>
        <w:ind w:firstLine="567"/>
        <w:jc w:val="both"/>
        <w:rPr>
          <w:lang w:val="en-GB"/>
        </w:rPr>
      </w:pPr>
      <w:r w:rsidRPr="00180B8D">
        <w:rPr>
          <w:lang w:val="en-GB"/>
        </w:rPr>
        <w:t xml:space="preserve">7.1.1. intragroup transactions with non-financial counterparties where </w:t>
      </w:r>
      <w:proofErr w:type="gramStart"/>
      <w:r w:rsidRPr="00180B8D">
        <w:rPr>
          <w:lang w:val="en-GB"/>
        </w:rPr>
        <w:t>all of</w:t>
      </w:r>
      <w:proofErr w:type="gramEnd"/>
      <w:r w:rsidRPr="00180B8D">
        <w:rPr>
          <w:lang w:val="en-GB"/>
        </w:rPr>
        <w:t xml:space="preserve"> the following conditions are met:</w:t>
      </w:r>
    </w:p>
    <w:p w14:paraId="534EE1F9" w14:textId="77777777" w:rsidR="00657236" w:rsidRPr="00180B8D" w:rsidRDefault="00D655E7">
      <w:pPr>
        <w:pStyle w:val="P68B1DB1-Normal2"/>
        <w:spacing w:after="0" w:line="240" w:lineRule="auto"/>
        <w:ind w:firstLine="567"/>
        <w:jc w:val="both"/>
        <w:rPr>
          <w:lang w:val="en-GB"/>
        </w:rPr>
      </w:pPr>
      <w:r w:rsidRPr="00180B8D">
        <w:rPr>
          <w:lang w:val="en-GB"/>
        </w:rPr>
        <w:t> </w:t>
      </w:r>
    </w:p>
    <w:p w14:paraId="143FDD8F" w14:textId="77777777" w:rsidR="00657236" w:rsidRPr="00180B8D" w:rsidRDefault="00D655E7">
      <w:pPr>
        <w:pStyle w:val="P68B1DB1-Normal2"/>
        <w:spacing w:after="0" w:line="240" w:lineRule="auto"/>
        <w:ind w:firstLine="567"/>
        <w:jc w:val="both"/>
        <w:rPr>
          <w:lang w:val="en-GB"/>
        </w:rPr>
      </w:pPr>
      <w:r w:rsidRPr="00180B8D">
        <w:rPr>
          <w:lang w:val="en-GB"/>
        </w:rPr>
        <w:t xml:space="preserve">7.1.1.1. the bank and non-financial counterparties are fully included in the same consolidation and are subject to supervision on a consolidated basis in accordance with the regulations governing the supervision of banks on a consolidated </w:t>
      </w:r>
      <w:proofErr w:type="gramStart"/>
      <w:r w:rsidRPr="00180B8D">
        <w:rPr>
          <w:lang w:val="en-GB"/>
        </w:rPr>
        <w:t>basis;</w:t>
      </w:r>
      <w:proofErr w:type="gramEnd"/>
    </w:p>
    <w:p w14:paraId="71237117" w14:textId="77777777" w:rsidR="00657236" w:rsidRPr="00180B8D" w:rsidRDefault="00D655E7">
      <w:pPr>
        <w:pStyle w:val="P68B1DB1-Normal2"/>
        <w:spacing w:after="0" w:line="240" w:lineRule="auto"/>
        <w:ind w:firstLine="567"/>
        <w:jc w:val="both"/>
        <w:rPr>
          <w:lang w:val="en-GB"/>
        </w:rPr>
      </w:pPr>
      <w:r w:rsidRPr="00180B8D">
        <w:rPr>
          <w:lang w:val="en-GB"/>
        </w:rPr>
        <w:t xml:space="preserve">7.1.1.2. are subject to appropriate centralised risk assessment, measurement and control </w:t>
      </w:r>
      <w:proofErr w:type="gramStart"/>
      <w:r w:rsidRPr="00180B8D">
        <w:rPr>
          <w:lang w:val="en-GB"/>
        </w:rPr>
        <w:t>procedures;</w:t>
      </w:r>
      <w:proofErr w:type="gramEnd"/>
    </w:p>
    <w:p w14:paraId="77B67DC2" w14:textId="0899CC36" w:rsidR="00657236" w:rsidRPr="00180B8D" w:rsidRDefault="00D655E7">
      <w:pPr>
        <w:pStyle w:val="P68B1DB1-Normal2"/>
        <w:spacing w:after="0" w:line="240" w:lineRule="auto"/>
        <w:ind w:firstLine="567"/>
        <w:jc w:val="both"/>
        <w:rPr>
          <w:lang w:val="en-GB"/>
        </w:rPr>
      </w:pPr>
      <w:r w:rsidRPr="00180B8D">
        <w:rPr>
          <w:lang w:val="en-GB"/>
        </w:rPr>
        <w:t xml:space="preserve">7.2. intragroup transactions concluded with financial counterparties, financial institutions or firms providing ancillary services which are established in the EU Member States or in the Republic of Moldova or which are established in a third country applying the prudential and supervisory requirements of those financial counterparties, banks or firms providing ancillary services which are at least equivalent to those applied in the EU Member States or in the Republic of Moldova, unless Member States adopt </w:t>
      </w:r>
      <w:r w:rsidRPr="00180B8D">
        <w:rPr>
          <w:lang w:val="en-GB"/>
        </w:rPr>
        <w:t>national provisions providing for the structural separation of activities within a banking group, in which case the competent authorities may require that intragroup transactions between structurally separated entities be included in the own funds requirements;</w:t>
      </w:r>
    </w:p>
    <w:p w14:paraId="2F0365CD" w14:textId="4A9ADC3A" w:rsidR="00657236" w:rsidRPr="00180B8D" w:rsidRDefault="00D655E7">
      <w:pPr>
        <w:pStyle w:val="P68B1DB1-Normal2"/>
        <w:spacing w:after="0" w:line="240" w:lineRule="auto"/>
        <w:ind w:firstLine="567"/>
        <w:jc w:val="both"/>
        <w:rPr>
          <w:lang w:val="en-GB"/>
        </w:rPr>
      </w:pPr>
      <w:r w:rsidRPr="00180B8D">
        <w:rPr>
          <w:lang w:val="en-GB"/>
        </w:rPr>
        <w:t>7.3. transactions with counterparties for which the provisions of the Regulation on the treatment of</w:t>
      </w:r>
      <w:r w:rsidR="00180B8D" w:rsidRPr="00180B8D">
        <w:rPr>
          <w:lang w:val="en-GB"/>
        </w:rPr>
        <w:t xml:space="preserve"> banks’</w:t>
      </w:r>
      <w:r w:rsidRPr="00180B8D">
        <w:rPr>
          <w:lang w:val="en-GB"/>
        </w:rPr>
        <w:t xml:space="preserve"> credit risk </w:t>
      </w:r>
      <w:r w:rsidR="00180B8D" w:rsidRPr="00180B8D">
        <w:rPr>
          <w:lang w:val="en-GB"/>
        </w:rPr>
        <w:t>using</w:t>
      </w:r>
      <w:r w:rsidRPr="00180B8D">
        <w:rPr>
          <w:lang w:val="en-GB"/>
        </w:rPr>
        <w:t xml:space="preserve"> standardised approach, approved by the Decision of the Executive Board of the National Bank of Moldova </w:t>
      </w:r>
      <w:r w:rsidR="00180B8D" w:rsidRPr="00180B8D">
        <w:rPr>
          <w:lang w:val="en-GB"/>
        </w:rPr>
        <w:t>N</w:t>
      </w:r>
      <w:r w:rsidRPr="00180B8D">
        <w:rPr>
          <w:lang w:val="en-GB"/>
        </w:rPr>
        <w:t>o</w:t>
      </w:r>
      <w:r w:rsidR="00180B8D" w:rsidRPr="00180B8D">
        <w:rPr>
          <w:lang w:val="en-GB"/>
        </w:rPr>
        <w:t xml:space="preserve"> </w:t>
      </w:r>
      <w:r w:rsidRPr="00180B8D">
        <w:rPr>
          <w:lang w:val="en-GB"/>
        </w:rPr>
        <w:t>111/2018, specify a 0% risk weight for exposures to those counterparties.</w:t>
      </w:r>
    </w:p>
    <w:p w14:paraId="306539B9" w14:textId="3FF3BC6D" w:rsidR="00657236" w:rsidRPr="00180B8D" w:rsidRDefault="00D655E7">
      <w:pPr>
        <w:pStyle w:val="P68B1DB1-Normal2"/>
        <w:spacing w:after="0" w:line="240" w:lineRule="auto"/>
        <w:ind w:firstLine="567"/>
        <w:jc w:val="both"/>
        <w:rPr>
          <w:lang w:val="en-GB"/>
        </w:rPr>
      </w:pPr>
      <w:r w:rsidRPr="00180B8D">
        <w:rPr>
          <w:b/>
          <w:lang w:val="en-GB"/>
        </w:rPr>
        <w:t>8.</w:t>
      </w:r>
      <w:r w:rsidRPr="00180B8D">
        <w:rPr>
          <w:lang w:val="en-GB"/>
        </w:rPr>
        <w:t xml:space="preserve"> </w:t>
      </w:r>
      <w:proofErr w:type="gramStart"/>
      <w:r w:rsidRPr="00180B8D">
        <w:rPr>
          <w:lang w:val="en-GB"/>
        </w:rPr>
        <w:t>With regard to</w:t>
      </w:r>
      <w:proofErr w:type="gramEnd"/>
      <w:r w:rsidRPr="00180B8D">
        <w:rPr>
          <w:lang w:val="en-GB"/>
        </w:rPr>
        <w:t xml:space="preserve"> </w:t>
      </w:r>
      <w:r w:rsidR="00180B8D">
        <w:rPr>
          <w:lang w:val="en-GB"/>
        </w:rPr>
        <w:t>subp</w:t>
      </w:r>
      <w:r w:rsidR="002A3787">
        <w:rPr>
          <w:lang w:val="en-GB"/>
        </w:rPr>
        <w:t>aragraph</w:t>
      </w:r>
      <w:r w:rsidRPr="00180B8D">
        <w:rPr>
          <w:lang w:val="en-GB"/>
        </w:rPr>
        <w:t>7.1, if the bank is no longer exempted by exceeding the exemption threshold or due to a change in the exemption threshold, unfulfilled contracts remain exempted until maturity.</w:t>
      </w:r>
    </w:p>
    <w:p w14:paraId="3664364A" w14:textId="4C9B3019" w:rsidR="00657236" w:rsidRPr="00180B8D" w:rsidRDefault="00D655E7">
      <w:pPr>
        <w:pStyle w:val="P68B1DB1-Normal2"/>
        <w:spacing w:after="0" w:line="240" w:lineRule="auto"/>
        <w:ind w:firstLine="567"/>
        <w:jc w:val="both"/>
        <w:rPr>
          <w:lang w:val="en-GB"/>
        </w:rPr>
      </w:pPr>
      <w:r w:rsidRPr="00180B8D">
        <w:rPr>
          <w:b/>
          <w:lang w:val="en-GB"/>
        </w:rPr>
        <w:t>9.</w:t>
      </w:r>
      <w:r w:rsidRPr="00180B8D">
        <w:rPr>
          <w:lang w:val="en-GB"/>
        </w:rPr>
        <w:t xml:space="preserve"> By way of derogation from </w:t>
      </w:r>
      <w:r w:rsidR="002A3787">
        <w:rPr>
          <w:lang w:val="en-GB"/>
        </w:rPr>
        <w:t>paragraph</w:t>
      </w:r>
      <w:r w:rsidRPr="00180B8D">
        <w:rPr>
          <w:lang w:val="en-GB"/>
        </w:rPr>
        <w:t xml:space="preserve"> 7, the bank may choose to calculate the own funds requirements for CVA risk, using any of the approaches referred to in </w:t>
      </w:r>
      <w:r w:rsidR="002A3787">
        <w:rPr>
          <w:lang w:val="en-GB"/>
        </w:rPr>
        <w:t>paragraph</w:t>
      </w:r>
      <w:r w:rsidR="002A3787" w:rsidRPr="00180B8D">
        <w:rPr>
          <w:lang w:val="en-GB"/>
        </w:rPr>
        <w:t xml:space="preserve"> </w:t>
      </w:r>
      <w:r w:rsidRPr="00180B8D">
        <w:rPr>
          <w:lang w:val="en-GB"/>
        </w:rPr>
        <w:t xml:space="preserve">11, for transactions that are excluded under </w:t>
      </w:r>
      <w:r w:rsidR="002A3787">
        <w:rPr>
          <w:lang w:val="en-GB"/>
        </w:rPr>
        <w:t>paragraph</w:t>
      </w:r>
      <w:r w:rsidR="002A3787" w:rsidRPr="00180B8D">
        <w:rPr>
          <w:lang w:val="en-GB"/>
        </w:rPr>
        <w:t xml:space="preserve"> </w:t>
      </w:r>
      <w:r w:rsidRPr="00180B8D">
        <w:rPr>
          <w:lang w:val="en-GB"/>
        </w:rPr>
        <w:t xml:space="preserve">7, if the bank uses eligible hedges determined in accordance with </w:t>
      </w:r>
      <w:r w:rsidR="008258BF">
        <w:rPr>
          <w:lang w:val="en-GB"/>
        </w:rPr>
        <w:t>paragraph</w:t>
      </w:r>
      <w:r w:rsidR="00180B8D">
        <w:rPr>
          <w:lang w:val="en-GB"/>
        </w:rPr>
        <w:t>s</w:t>
      </w:r>
      <w:r w:rsidRPr="00180B8D">
        <w:rPr>
          <w:lang w:val="en-GB"/>
        </w:rPr>
        <w:t xml:space="preserve"> 119 to 124 to mitigate the CVA risk of those transactions. Banks shall establish policies to specify the application and calculation of the own funds requirements for CVA risk for such transactions.</w:t>
      </w:r>
    </w:p>
    <w:p w14:paraId="3D8384AF" w14:textId="6F9E610A" w:rsidR="00657236" w:rsidRPr="00180B8D" w:rsidRDefault="00D655E7">
      <w:pPr>
        <w:pStyle w:val="P68B1DB1-Normal2"/>
        <w:spacing w:after="0" w:line="240" w:lineRule="auto"/>
        <w:ind w:firstLine="567"/>
        <w:jc w:val="both"/>
        <w:rPr>
          <w:lang w:val="en-GB"/>
        </w:rPr>
      </w:pPr>
      <w:r w:rsidRPr="00180B8D">
        <w:rPr>
          <w:b/>
          <w:lang w:val="en-GB"/>
        </w:rPr>
        <w:t>10.</w:t>
      </w:r>
      <w:r w:rsidRPr="00180B8D">
        <w:rPr>
          <w:lang w:val="en-GB"/>
        </w:rPr>
        <w:t xml:space="preserve"> If banks choose to calculate the own funds requirements for CVA risk in respect of the transactions referred to in </w:t>
      </w:r>
      <w:r w:rsidR="002A3787">
        <w:rPr>
          <w:lang w:val="en-GB"/>
        </w:rPr>
        <w:t>paragraph</w:t>
      </w:r>
      <w:r w:rsidR="002A3787" w:rsidRPr="00180B8D">
        <w:rPr>
          <w:lang w:val="en-GB"/>
        </w:rPr>
        <w:t xml:space="preserve"> </w:t>
      </w:r>
      <w:r w:rsidRPr="00180B8D">
        <w:rPr>
          <w:lang w:val="en-GB"/>
        </w:rPr>
        <w:t xml:space="preserve">7, they shall report to the National Bank of Moldova the results of the calculations of the own funds requirements for CVA risk for all transactions referred to in </w:t>
      </w:r>
      <w:r w:rsidR="002A3787">
        <w:rPr>
          <w:lang w:val="en-GB"/>
        </w:rPr>
        <w:t>paragraph</w:t>
      </w:r>
      <w:r w:rsidR="002A3787" w:rsidRPr="00180B8D">
        <w:rPr>
          <w:lang w:val="en-GB"/>
        </w:rPr>
        <w:t xml:space="preserve"> </w:t>
      </w:r>
      <w:r w:rsidRPr="00180B8D">
        <w:rPr>
          <w:lang w:val="en-GB"/>
        </w:rPr>
        <w:t xml:space="preserve">7. For the purposes of that reporting requirement, banks shall calculate the own funds requirements for CVA risk using the relevant approaches set out in </w:t>
      </w:r>
      <w:r w:rsidR="008258BF">
        <w:rPr>
          <w:lang w:val="en-GB"/>
        </w:rPr>
        <w:t>paragraph</w:t>
      </w:r>
      <w:r w:rsidRPr="00180B8D">
        <w:rPr>
          <w:lang w:val="en-GB"/>
        </w:rPr>
        <w:t xml:space="preserve"> 11 that they would have used to meet an own fund</w:t>
      </w:r>
      <w:r w:rsidRPr="00180B8D">
        <w:rPr>
          <w:lang w:val="en-GB"/>
        </w:rPr>
        <w:t xml:space="preserve">s requirement for CVA risk, had those transactions not been excluded from the scope under </w:t>
      </w:r>
      <w:r w:rsidR="002A3787">
        <w:rPr>
          <w:lang w:val="en-GB"/>
        </w:rPr>
        <w:t>paragraph</w:t>
      </w:r>
      <w:r w:rsidR="002A3787" w:rsidRPr="00180B8D">
        <w:rPr>
          <w:lang w:val="en-GB"/>
        </w:rPr>
        <w:t xml:space="preserve"> </w:t>
      </w:r>
      <w:r w:rsidRPr="00180B8D">
        <w:rPr>
          <w:lang w:val="en-GB"/>
        </w:rPr>
        <w:t>7.</w:t>
      </w:r>
    </w:p>
    <w:p w14:paraId="7985F235" w14:textId="744579A5" w:rsidR="00657236" w:rsidRPr="00180B8D" w:rsidRDefault="00D655E7" w:rsidP="002A3787">
      <w:pPr>
        <w:pStyle w:val="P68B1DB1-Normal2"/>
        <w:tabs>
          <w:tab w:val="left" w:pos="3288"/>
        </w:tabs>
        <w:spacing w:after="0" w:line="240" w:lineRule="auto"/>
        <w:ind w:firstLine="567"/>
        <w:jc w:val="both"/>
        <w:rPr>
          <w:lang w:val="en-GB"/>
        </w:rPr>
      </w:pPr>
      <w:r w:rsidRPr="00180B8D">
        <w:rPr>
          <w:lang w:val="en-GB"/>
        </w:rPr>
        <w:t> </w:t>
      </w:r>
      <w:r w:rsidR="002A3787">
        <w:rPr>
          <w:lang w:val="en-GB"/>
        </w:rPr>
        <w:tab/>
      </w:r>
    </w:p>
    <w:p w14:paraId="22A9C3C8" w14:textId="77777777" w:rsidR="00657236" w:rsidRPr="00180B8D" w:rsidRDefault="00D655E7">
      <w:pPr>
        <w:pStyle w:val="P68B1DB1-Normal1"/>
        <w:spacing w:after="0" w:line="240" w:lineRule="auto"/>
        <w:jc w:val="center"/>
        <w:rPr>
          <w:lang w:val="en-GB"/>
        </w:rPr>
      </w:pPr>
      <w:r w:rsidRPr="00180B8D">
        <w:rPr>
          <w:lang w:val="en-GB"/>
        </w:rPr>
        <w:t>CHAPTER III</w:t>
      </w:r>
    </w:p>
    <w:p w14:paraId="1E139C15" w14:textId="77777777" w:rsidR="0027632F" w:rsidRDefault="00D655E7">
      <w:pPr>
        <w:pStyle w:val="P68B1DB1-Normal1"/>
        <w:spacing w:after="0" w:line="240" w:lineRule="auto"/>
        <w:jc w:val="center"/>
        <w:rPr>
          <w:lang w:val="en-GB"/>
        </w:rPr>
      </w:pPr>
      <w:r w:rsidRPr="00180B8D">
        <w:rPr>
          <w:lang w:val="en-GB"/>
        </w:rPr>
        <w:t>APPR</w:t>
      </w:r>
      <w:r w:rsidR="0027632F">
        <w:rPr>
          <w:lang w:val="en-GB"/>
        </w:rPr>
        <w:t>OACHES</w:t>
      </w:r>
      <w:r w:rsidRPr="00180B8D">
        <w:rPr>
          <w:lang w:val="en-GB"/>
        </w:rPr>
        <w:t xml:space="preserve"> </w:t>
      </w:r>
      <w:r w:rsidR="0027632F">
        <w:rPr>
          <w:lang w:val="en-GB"/>
        </w:rPr>
        <w:t>OF THE</w:t>
      </w:r>
      <w:r w:rsidRPr="00180B8D">
        <w:rPr>
          <w:lang w:val="en-GB"/>
        </w:rPr>
        <w:t xml:space="preserve"> CALCULATION OF </w:t>
      </w:r>
    </w:p>
    <w:p w14:paraId="5A9A6728" w14:textId="7993D9AC" w:rsidR="00657236" w:rsidRPr="00180B8D" w:rsidRDefault="0027632F" w:rsidP="0027632F">
      <w:pPr>
        <w:pStyle w:val="P68B1DB1-Normal1"/>
        <w:spacing w:after="0" w:line="240" w:lineRule="auto"/>
        <w:jc w:val="center"/>
        <w:rPr>
          <w:lang w:val="en-GB"/>
        </w:rPr>
      </w:pPr>
      <w:r w:rsidRPr="00180B8D">
        <w:rPr>
          <w:lang w:val="en-GB"/>
        </w:rPr>
        <w:t>OWN FUNDS RISK REQUIREMENTS</w:t>
      </w:r>
      <w:r>
        <w:rPr>
          <w:lang w:val="en-GB"/>
        </w:rPr>
        <w:t xml:space="preserve"> </w:t>
      </w:r>
      <w:r w:rsidRPr="00180B8D">
        <w:rPr>
          <w:lang w:val="en-GB"/>
        </w:rPr>
        <w:t>FOR CVA</w:t>
      </w:r>
    </w:p>
    <w:p w14:paraId="707456B3" w14:textId="04E93F03" w:rsidR="00657236" w:rsidRPr="00180B8D" w:rsidRDefault="00D655E7">
      <w:pPr>
        <w:pStyle w:val="P68B1DB1-Normal2"/>
        <w:spacing w:after="0" w:line="240" w:lineRule="auto"/>
        <w:ind w:firstLine="567"/>
        <w:jc w:val="both"/>
        <w:rPr>
          <w:lang w:val="en-GB"/>
        </w:rPr>
      </w:pPr>
      <w:r w:rsidRPr="00180B8D">
        <w:rPr>
          <w:b/>
          <w:lang w:val="en-GB"/>
        </w:rPr>
        <w:lastRenderedPageBreak/>
        <w:t>11.</w:t>
      </w:r>
      <w:r w:rsidRPr="00180B8D">
        <w:rPr>
          <w:lang w:val="en-GB"/>
        </w:rPr>
        <w:t xml:space="preserve"> The Bank shall calculate the own funds requirements for CVA risk for all transactions referred to in </w:t>
      </w:r>
      <w:r w:rsidR="008258BF">
        <w:rPr>
          <w:lang w:val="en-GB"/>
        </w:rPr>
        <w:t>paragraph</w:t>
      </w:r>
      <w:r w:rsidR="0027632F">
        <w:rPr>
          <w:lang w:val="en-GB"/>
        </w:rPr>
        <w:t>s</w:t>
      </w:r>
      <w:r w:rsidRPr="00180B8D">
        <w:rPr>
          <w:lang w:val="en-GB"/>
        </w:rPr>
        <w:t xml:space="preserve"> 4</w:t>
      </w:r>
      <w:r w:rsidR="0027632F">
        <w:rPr>
          <w:lang w:val="en-GB"/>
        </w:rPr>
        <w:t>-1</w:t>
      </w:r>
      <w:r w:rsidRPr="00180B8D">
        <w:rPr>
          <w:lang w:val="en-GB"/>
        </w:rPr>
        <w:t>0 in accordance with the following approaches:</w:t>
      </w:r>
    </w:p>
    <w:p w14:paraId="3A2F03D1" w14:textId="35C7566C" w:rsidR="00657236" w:rsidRPr="00180B8D" w:rsidRDefault="00D655E7">
      <w:pPr>
        <w:pStyle w:val="P68B1DB1-Normal2"/>
        <w:spacing w:after="0" w:line="240" w:lineRule="auto"/>
        <w:ind w:firstLine="567"/>
        <w:jc w:val="both"/>
        <w:rPr>
          <w:lang w:val="en-GB"/>
        </w:rPr>
      </w:pPr>
      <w:r w:rsidRPr="00180B8D">
        <w:rPr>
          <w:lang w:val="en-GB"/>
        </w:rPr>
        <w:t xml:space="preserve">11.1. the standardised approach set out in </w:t>
      </w:r>
      <w:r w:rsidR="008258BF">
        <w:rPr>
          <w:lang w:val="en-GB"/>
        </w:rPr>
        <w:t>paragraph</w:t>
      </w:r>
      <w:r w:rsidR="0027632F">
        <w:rPr>
          <w:lang w:val="en-GB"/>
        </w:rPr>
        <w:t>s</w:t>
      </w:r>
      <w:r w:rsidRPr="00180B8D">
        <w:rPr>
          <w:lang w:val="en-GB"/>
        </w:rPr>
        <w:t xml:space="preserve"> 17-20, if the bank has received the prior </w:t>
      </w:r>
      <w:r w:rsidR="00637B03">
        <w:rPr>
          <w:lang w:val="en-GB"/>
        </w:rPr>
        <w:t>approval</w:t>
      </w:r>
      <w:r w:rsidRPr="00180B8D">
        <w:rPr>
          <w:lang w:val="en-GB"/>
        </w:rPr>
        <w:t xml:space="preserve"> of the National Bank of Moldova to use that </w:t>
      </w:r>
      <w:proofErr w:type="gramStart"/>
      <w:r w:rsidRPr="00180B8D">
        <w:rPr>
          <w:lang w:val="en-GB"/>
        </w:rPr>
        <w:t>approach;</w:t>
      </w:r>
      <w:proofErr w:type="gramEnd"/>
    </w:p>
    <w:p w14:paraId="38B24D41" w14:textId="42961EEE" w:rsidR="00657236" w:rsidRPr="00180B8D" w:rsidRDefault="00D655E7">
      <w:pPr>
        <w:pStyle w:val="P68B1DB1-Normal2"/>
        <w:spacing w:after="0" w:line="240" w:lineRule="auto"/>
        <w:ind w:firstLine="567"/>
        <w:jc w:val="both"/>
        <w:rPr>
          <w:lang w:val="en-GB"/>
        </w:rPr>
      </w:pPr>
      <w:r w:rsidRPr="00180B8D">
        <w:rPr>
          <w:lang w:val="en-GB"/>
        </w:rPr>
        <w:t xml:space="preserve">11.2. the basic approach set out in </w:t>
      </w:r>
      <w:r w:rsidR="008258BF">
        <w:rPr>
          <w:lang w:val="en-GB"/>
        </w:rPr>
        <w:t>paragraph</w:t>
      </w:r>
      <w:r w:rsidR="0027632F">
        <w:rPr>
          <w:lang w:val="en-GB"/>
        </w:rPr>
        <w:t>s</w:t>
      </w:r>
      <w:r w:rsidRPr="00180B8D">
        <w:rPr>
          <w:lang w:val="en-GB"/>
        </w:rPr>
        <w:t xml:space="preserve"> 113–</w:t>
      </w:r>
      <w:proofErr w:type="gramStart"/>
      <w:r w:rsidRPr="00180B8D">
        <w:rPr>
          <w:lang w:val="en-GB"/>
        </w:rPr>
        <w:t>115;</w:t>
      </w:r>
      <w:proofErr w:type="gramEnd"/>
    </w:p>
    <w:p w14:paraId="2B4A98C5" w14:textId="47FFB4AC" w:rsidR="00657236" w:rsidRPr="00180B8D" w:rsidRDefault="00D655E7">
      <w:pPr>
        <w:pStyle w:val="P68B1DB1-Normal2"/>
        <w:spacing w:after="0" w:line="240" w:lineRule="auto"/>
        <w:ind w:firstLine="567"/>
        <w:jc w:val="both"/>
        <w:rPr>
          <w:lang w:val="en-GB"/>
        </w:rPr>
      </w:pPr>
      <w:r w:rsidRPr="00180B8D">
        <w:rPr>
          <w:lang w:val="en-GB"/>
        </w:rPr>
        <w:t xml:space="preserve">11.3. the simplified approach set out in </w:t>
      </w:r>
      <w:r w:rsidR="008258BF">
        <w:rPr>
          <w:lang w:val="en-GB"/>
        </w:rPr>
        <w:t>paragraph</w:t>
      </w:r>
      <w:r w:rsidR="0027632F">
        <w:rPr>
          <w:lang w:val="en-GB"/>
        </w:rPr>
        <w:t>s</w:t>
      </w:r>
      <w:r w:rsidRPr="00180B8D">
        <w:rPr>
          <w:lang w:val="en-GB"/>
        </w:rPr>
        <w:t xml:space="preserve"> 116–118, provided that the bank meets the conditions set out in </w:t>
      </w:r>
      <w:r w:rsidR="008258BF">
        <w:rPr>
          <w:lang w:val="en-GB"/>
        </w:rPr>
        <w:t>paragraph</w:t>
      </w:r>
      <w:r w:rsidRPr="00180B8D">
        <w:rPr>
          <w:lang w:val="en-GB"/>
        </w:rPr>
        <w:t xml:space="preserve"> 116.</w:t>
      </w:r>
    </w:p>
    <w:p w14:paraId="67D39575" w14:textId="7C3B8DA4" w:rsidR="00657236" w:rsidRPr="00180B8D" w:rsidRDefault="00D655E7">
      <w:pPr>
        <w:pStyle w:val="P68B1DB1-Normal2"/>
        <w:spacing w:after="0" w:line="240" w:lineRule="auto"/>
        <w:ind w:firstLine="567"/>
        <w:jc w:val="both"/>
        <w:rPr>
          <w:lang w:val="en-GB"/>
        </w:rPr>
      </w:pPr>
      <w:r w:rsidRPr="00180B8D">
        <w:rPr>
          <w:b/>
          <w:lang w:val="en-GB"/>
        </w:rPr>
        <w:t>12.</w:t>
      </w:r>
      <w:r w:rsidRPr="00180B8D">
        <w:rPr>
          <w:lang w:val="en-GB"/>
        </w:rPr>
        <w:t xml:space="preserve"> The Bank shall not use the approach referred to in sub</w:t>
      </w:r>
      <w:r w:rsidR="008258BF">
        <w:rPr>
          <w:lang w:val="en-GB"/>
        </w:rPr>
        <w:t>paragraph</w:t>
      </w:r>
      <w:r w:rsidRPr="00180B8D">
        <w:rPr>
          <w:lang w:val="en-GB"/>
        </w:rPr>
        <w:t xml:space="preserve"> 11.3. in combination with the approach referred to in sub</w:t>
      </w:r>
      <w:r w:rsidR="008258BF">
        <w:rPr>
          <w:lang w:val="en-GB"/>
        </w:rPr>
        <w:t>paragraph</w:t>
      </w:r>
      <w:r w:rsidR="0027632F">
        <w:rPr>
          <w:lang w:val="en-GB"/>
        </w:rPr>
        <w:t xml:space="preserve">s </w:t>
      </w:r>
      <w:r w:rsidRPr="00180B8D">
        <w:rPr>
          <w:lang w:val="en-GB"/>
        </w:rPr>
        <w:t>11.1 or 11.2.</w:t>
      </w:r>
    </w:p>
    <w:p w14:paraId="3B1985D1" w14:textId="412A5EA5" w:rsidR="00657236" w:rsidRPr="00180B8D" w:rsidRDefault="00D655E7">
      <w:pPr>
        <w:pStyle w:val="P68B1DB1-Normal2"/>
        <w:spacing w:after="0" w:line="240" w:lineRule="auto"/>
        <w:ind w:firstLine="567"/>
        <w:jc w:val="both"/>
        <w:rPr>
          <w:lang w:val="en-GB"/>
        </w:rPr>
      </w:pPr>
      <w:r w:rsidRPr="00180B8D">
        <w:rPr>
          <w:b/>
          <w:lang w:val="en-GB"/>
        </w:rPr>
        <w:t>13.</w:t>
      </w:r>
      <w:r w:rsidRPr="00180B8D">
        <w:rPr>
          <w:lang w:val="en-GB"/>
        </w:rPr>
        <w:t xml:space="preserve"> The Bank may use on an ongoing basis a combination of the approaches referred to in </w:t>
      </w:r>
      <w:r w:rsidR="0027632F">
        <w:rPr>
          <w:lang w:val="en-GB"/>
        </w:rPr>
        <w:t>sub</w:t>
      </w:r>
      <w:r w:rsidR="008258BF">
        <w:rPr>
          <w:lang w:val="en-GB"/>
        </w:rPr>
        <w:t>paragraph</w:t>
      </w:r>
      <w:r w:rsidR="0027632F">
        <w:rPr>
          <w:lang w:val="en-GB"/>
        </w:rPr>
        <w:t>s</w:t>
      </w:r>
      <w:r w:rsidRPr="00180B8D">
        <w:rPr>
          <w:lang w:val="en-GB"/>
        </w:rPr>
        <w:t xml:space="preserve"> 11.1. and 11.2. to calculate the own funds requirements for CVA risk for:</w:t>
      </w:r>
    </w:p>
    <w:p w14:paraId="5D2F745F" w14:textId="77777777" w:rsidR="00657236" w:rsidRPr="00180B8D" w:rsidRDefault="00D655E7">
      <w:pPr>
        <w:pStyle w:val="P68B1DB1-Normal2"/>
        <w:spacing w:after="0" w:line="240" w:lineRule="auto"/>
        <w:ind w:firstLine="567"/>
        <w:jc w:val="both"/>
        <w:rPr>
          <w:lang w:val="en-GB"/>
        </w:rPr>
      </w:pPr>
      <w:r w:rsidRPr="00180B8D">
        <w:rPr>
          <w:lang w:val="en-GB"/>
        </w:rPr>
        <w:t xml:space="preserve">13.1. different </w:t>
      </w:r>
      <w:proofErr w:type="gramStart"/>
      <w:r w:rsidRPr="00180B8D">
        <w:rPr>
          <w:lang w:val="en-GB"/>
        </w:rPr>
        <w:t>counterparts;</w:t>
      </w:r>
      <w:proofErr w:type="gramEnd"/>
    </w:p>
    <w:p w14:paraId="00904B5D" w14:textId="77777777" w:rsidR="00657236" w:rsidRPr="00180B8D" w:rsidRDefault="00D655E7">
      <w:pPr>
        <w:pStyle w:val="P68B1DB1-Normal2"/>
        <w:spacing w:after="0" w:line="240" w:lineRule="auto"/>
        <w:ind w:firstLine="567"/>
        <w:jc w:val="both"/>
        <w:rPr>
          <w:lang w:val="en-GB"/>
        </w:rPr>
      </w:pPr>
      <w:r w:rsidRPr="00180B8D">
        <w:rPr>
          <w:lang w:val="en-GB"/>
        </w:rPr>
        <w:t xml:space="preserve">13.2. different eligible netting sets with the same </w:t>
      </w:r>
      <w:proofErr w:type="gramStart"/>
      <w:r w:rsidRPr="00180B8D">
        <w:rPr>
          <w:lang w:val="en-GB"/>
        </w:rPr>
        <w:t>counterparty;</w:t>
      </w:r>
      <w:proofErr w:type="gramEnd"/>
    </w:p>
    <w:p w14:paraId="3AA7E303" w14:textId="1DB7B191" w:rsidR="00657236" w:rsidRPr="00180B8D" w:rsidRDefault="00D655E7">
      <w:pPr>
        <w:pStyle w:val="P68B1DB1-Normal2"/>
        <w:spacing w:after="0" w:line="240" w:lineRule="auto"/>
        <w:ind w:firstLine="567"/>
        <w:jc w:val="both"/>
        <w:rPr>
          <w:lang w:val="en-GB"/>
        </w:rPr>
      </w:pPr>
      <w:r w:rsidRPr="00180B8D">
        <w:rPr>
          <w:lang w:val="en-GB"/>
        </w:rPr>
        <w:t xml:space="preserve">13.3. different transactions in the same eligible netting set, subject to the satisfaction of any of the conditions referred to in </w:t>
      </w:r>
      <w:r w:rsidR="008258BF">
        <w:rPr>
          <w:lang w:val="en-GB"/>
        </w:rPr>
        <w:t>paragraph</w:t>
      </w:r>
      <w:r w:rsidRPr="00180B8D">
        <w:rPr>
          <w:lang w:val="en-GB"/>
        </w:rPr>
        <w:t xml:space="preserve"> 15.</w:t>
      </w:r>
    </w:p>
    <w:p w14:paraId="55BCB4B8" w14:textId="2CF970E6" w:rsidR="00657236" w:rsidRPr="00180B8D" w:rsidRDefault="00D655E7">
      <w:pPr>
        <w:pStyle w:val="P68B1DB1-Normal2"/>
        <w:spacing w:after="0" w:line="240" w:lineRule="auto"/>
        <w:ind w:firstLine="567"/>
        <w:jc w:val="both"/>
        <w:rPr>
          <w:lang w:val="en-GB"/>
        </w:rPr>
      </w:pPr>
      <w:r w:rsidRPr="00180B8D">
        <w:rPr>
          <w:b/>
          <w:lang w:val="en-GB"/>
        </w:rPr>
        <w:t>14.</w:t>
      </w:r>
      <w:r w:rsidRPr="00180B8D">
        <w:rPr>
          <w:lang w:val="en-GB"/>
        </w:rPr>
        <w:t xml:space="preserve"> For the purposes of </w:t>
      </w:r>
      <w:r w:rsidR="00F96E77">
        <w:rPr>
          <w:lang w:val="en-GB"/>
        </w:rPr>
        <w:t>sub</w:t>
      </w:r>
      <w:r w:rsidR="008258BF">
        <w:rPr>
          <w:lang w:val="en-GB"/>
        </w:rPr>
        <w:t>paragraph</w:t>
      </w:r>
      <w:r w:rsidRPr="00180B8D">
        <w:rPr>
          <w:lang w:val="en-GB"/>
        </w:rPr>
        <w:t xml:space="preserve"> 13.3, banks shall divide the eligible netting set into a hypothetical netting set containing the transactions subject to the approach referred to in </w:t>
      </w:r>
      <w:r w:rsidR="0027632F">
        <w:rPr>
          <w:lang w:val="en-GB"/>
        </w:rPr>
        <w:t>sub</w:t>
      </w:r>
      <w:r w:rsidR="008258BF">
        <w:rPr>
          <w:lang w:val="en-GB"/>
        </w:rPr>
        <w:t>paragraph</w:t>
      </w:r>
      <w:r w:rsidRPr="00180B8D">
        <w:rPr>
          <w:lang w:val="en-GB"/>
        </w:rPr>
        <w:t xml:space="preserve"> 11.1 and a hypothetical netting set containing the transactions subject to the approach referred to in </w:t>
      </w:r>
      <w:r w:rsidR="0027632F">
        <w:rPr>
          <w:lang w:val="en-GB"/>
        </w:rPr>
        <w:t>sub</w:t>
      </w:r>
      <w:r w:rsidR="008258BF">
        <w:rPr>
          <w:lang w:val="en-GB"/>
        </w:rPr>
        <w:t>paragraph</w:t>
      </w:r>
      <w:r w:rsidRPr="00180B8D">
        <w:rPr>
          <w:lang w:val="en-GB"/>
        </w:rPr>
        <w:t xml:space="preserve"> 11.2.</w:t>
      </w:r>
    </w:p>
    <w:p w14:paraId="436DD8DA" w14:textId="36DAFB86" w:rsidR="00657236" w:rsidRPr="00180B8D" w:rsidRDefault="00D655E7">
      <w:pPr>
        <w:pStyle w:val="P68B1DB1-Normal2"/>
        <w:spacing w:after="0" w:line="240" w:lineRule="auto"/>
        <w:ind w:firstLine="567"/>
        <w:jc w:val="both"/>
        <w:rPr>
          <w:lang w:val="en-GB"/>
        </w:rPr>
      </w:pPr>
      <w:r w:rsidRPr="00180B8D">
        <w:rPr>
          <w:b/>
          <w:lang w:val="en-GB"/>
        </w:rPr>
        <w:t>15.</w:t>
      </w:r>
      <w:r w:rsidRPr="00180B8D">
        <w:rPr>
          <w:lang w:val="en-GB"/>
        </w:rPr>
        <w:t xml:space="preserve"> For the purposes of </w:t>
      </w:r>
      <w:r w:rsidR="0027632F">
        <w:rPr>
          <w:lang w:val="en-GB"/>
        </w:rPr>
        <w:t>sub</w:t>
      </w:r>
      <w:r w:rsidR="008258BF">
        <w:rPr>
          <w:lang w:val="en-GB"/>
        </w:rPr>
        <w:t>paragraph</w:t>
      </w:r>
      <w:r w:rsidRPr="00180B8D">
        <w:rPr>
          <w:lang w:val="en-GB"/>
        </w:rPr>
        <w:t xml:space="preserve"> 13.3, the conditions referred to in that </w:t>
      </w:r>
      <w:r w:rsidR="0027632F">
        <w:rPr>
          <w:lang w:val="en-GB"/>
        </w:rPr>
        <w:t>sub</w:t>
      </w:r>
      <w:r w:rsidR="008258BF">
        <w:rPr>
          <w:lang w:val="en-GB"/>
        </w:rPr>
        <w:t>paragraph</w:t>
      </w:r>
      <w:r w:rsidRPr="00180B8D">
        <w:rPr>
          <w:lang w:val="en-GB"/>
        </w:rPr>
        <w:t xml:space="preserve"> include the following:</w:t>
      </w:r>
    </w:p>
    <w:p w14:paraId="6824ED26" w14:textId="77777777" w:rsidR="00657236" w:rsidRPr="00180B8D" w:rsidRDefault="00D655E7">
      <w:pPr>
        <w:pStyle w:val="P68B1DB1-Normal2"/>
        <w:spacing w:after="0" w:line="240" w:lineRule="auto"/>
        <w:ind w:firstLine="567"/>
        <w:jc w:val="both"/>
        <w:rPr>
          <w:lang w:val="en-GB"/>
        </w:rPr>
      </w:pPr>
      <w:r w:rsidRPr="00180B8D">
        <w:rPr>
          <w:lang w:val="en-GB"/>
        </w:rPr>
        <w:t xml:space="preserve">15.1. the split is consistent with the treatment of the legal netting set when calculating the CVA for accounting </w:t>
      </w:r>
      <w:proofErr w:type="gramStart"/>
      <w:r w:rsidRPr="00180B8D">
        <w:rPr>
          <w:lang w:val="en-GB"/>
        </w:rPr>
        <w:t>purposes;</w:t>
      </w:r>
      <w:proofErr w:type="gramEnd"/>
    </w:p>
    <w:p w14:paraId="6BAAAF5B" w14:textId="515CFC4C" w:rsidR="00657236" w:rsidRPr="00180B8D" w:rsidRDefault="00D655E7">
      <w:pPr>
        <w:pStyle w:val="P68B1DB1-Normal2"/>
        <w:spacing w:after="0" w:line="240" w:lineRule="auto"/>
        <w:ind w:firstLine="567"/>
        <w:jc w:val="both"/>
        <w:rPr>
          <w:lang w:val="en-GB"/>
        </w:rPr>
      </w:pPr>
      <w:r w:rsidRPr="00180B8D">
        <w:rPr>
          <w:lang w:val="en-GB"/>
        </w:rPr>
        <w:t xml:space="preserve">15.2. the </w:t>
      </w:r>
      <w:r w:rsidR="00637B03">
        <w:rPr>
          <w:lang w:val="en-GB"/>
        </w:rPr>
        <w:t>approval</w:t>
      </w:r>
      <w:r w:rsidRPr="00180B8D">
        <w:rPr>
          <w:lang w:val="en-GB"/>
        </w:rPr>
        <w:t xml:space="preserve"> granted by the National Bank of Moldova to use the approach referred to in sub</w:t>
      </w:r>
      <w:r w:rsidR="008258BF">
        <w:rPr>
          <w:lang w:val="en-GB"/>
        </w:rPr>
        <w:t>paragraph</w:t>
      </w:r>
      <w:r w:rsidRPr="00180B8D">
        <w:rPr>
          <w:lang w:val="en-GB"/>
        </w:rPr>
        <w:t xml:space="preserve"> 11.1 shall be limited to the corresponding hypothetical netting set and shall not cover all transactions in the eligible netting set.</w:t>
      </w:r>
    </w:p>
    <w:p w14:paraId="0E162D1F" w14:textId="2D06B2B2" w:rsidR="00657236" w:rsidRPr="00180B8D" w:rsidRDefault="00D655E7">
      <w:pPr>
        <w:pStyle w:val="P68B1DB1-Normal2"/>
        <w:spacing w:after="0" w:line="240" w:lineRule="auto"/>
        <w:ind w:firstLine="567"/>
        <w:jc w:val="both"/>
        <w:rPr>
          <w:lang w:val="en-GB"/>
        </w:rPr>
      </w:pPr>
      <w:r w:rsidRPr="00180B8D">
        <w:rPr>
          <w:b/>
          <w:lang w:val="en-GB"/>
        </w:rPr>
        <w:t>16.</w:t>
      </w:r>
      <w:r w:rsidRPr="00180B8D">
        <w:rPr>
          <w:lang w:val="en-GB"/>
        </w:rPr>
        <w:t xml:space="preserve"> Banks shall document how they use on an ongoing basis a combination of the approaches referred to in </w:t>
      </w:r>
      <w:r w:rsidR="0027632F">
        <w:rPr>
          <w:lang w:val="en-GB"/>
        </w:rPr>
        <w:t>sub</w:t>
      </w:r>
      <w:r w:rsidR="008258BF">
        <w:rPr>
          <w:lang w:val="en-GB"/>
        </w:rPr>
        <w:t>paragraph</w:t>
      </w:r>
      <w:r w:rsidR="0027632F">
        <w:rPr>
          <w:lang w:val="en-GB"/>
        </w:rPr>
        <w:t>s</w:t>
      </w:r>
      <w:r w:rsidRPr="00180B8D">
        <w:rPr>
          <w:lang w:val="en-GB"/>
        </w:rPr>
        <w:t xml:space="preserve"> 11.1 and 11.2, as set out in </w:t>
      </w:r>
      <w:r w:rsidR="008258BF">
        <w:rPr>
          <w:lang w:val="en-GB"/>
        </w:rPr>
        <w:t>paragraph</w:t>
      </w:r>
      <w:r w:rsidRPr="00180B8D">
        <w:rPr>
          <w:lang w:val="en-GB"/>
        </w:rPr>
        <w:t xml:space="preserve"> 15, to calculate the own funds requirements for CVA risk.</w:t>
      </w:r>
    </w:p>
    <w:p w14:paraId="03CDC9DE" w14:textId="77777777" w:rsidR="00657236" w:rsidRPr="00180B8D" w:rsidRDefault="00D655E7">
      <w:pPr>
        <w:pStyle w:val="P68B1DB1-Normal2"/>
        <w:spacing w:after="0" w:line="240" w:lineRule="auto"/>
        <w:ind w:firstLine="567"/>
        <w:jc w:val="both"/>
        <w:rPr>
          <w:lang w:val="en-GB"/>
        </w:rPr>
      </w:pPr>
      <w:r w:rsidRPr="00180B8D">
        <w:rPr>
          <w:lang w:val="en-GB"/>
        </w:rPr>
        <w:t> </w:t>
      </w:r>
    </w:p>
    <w:p w14:paraId="08C607B1" w14:textId="77777777" w:rsidR="00657236" w:rsidRPr="00180B8D" w:rsidRDefault="00D655E7">
      <w:pPr>
        <w:pStyle w:val="P68B1DB1-Normal1"/>
        <w:spacing w:after="0" w:line="240" w:lineRule="auto"/>
        <w:jc w:val="center"/>
        <w:rPr>
          <w:lang w:val="en-GB"/>
        </w:rPr>
      </w:pPr>
      <w:r w:rsidRPr="00180B8D">
        <w:rPr>
          <w:lang w:val="en-GB"/>
        </w:rPr>
        <w:t>CHAPTER IV</w:t>
      </w:r>
    </w:p>
    <w:p w14:paraId="3021D410" w14:textId="77777777" w:rsidR="00657236" w:rsidRPr="00180B8D" w:rsidRDefault="00D655E7">
      <w:pPr>
        <w:pStyle w:val="P68B1DB1-Normal1"/>
        <w:spacing w:after="0" w:line="240" w:lineRule="auto"/>
        <w:jc w:val="center"/>
        <w:rPr>
          <w:lang w:val="en-GB"/>
        </w:rPr>
      </w:pPr>
      <w:r w:rsidRPr="00180B8D">
        <w:rPr>
          <w:lang w:val="en-GB"/>
        </w:rPr>
        <w:t>STANDARDISED APPROACH</w:t>
      </w:r>
    </w:p>
    <w:p w14:paraId="1CD13D96" w14:textId="77777777" w:rsidR="00657236" w:rsidRPr="00180B8D" w:rsidRDefault="00D655E7">
      <w:pPr>
        <w:pStyle w:val="P68B1DB1-Normal2"/>
        <w:spacing w:after="0" w:line="240" w:lineRule="auto"/>
        <w:jc w:val="center"/>
        <w:rPr>
          <w:lang w:val="en-GB"/>
        </w:rPr>
      </w:pPr>
      <w:r w:rsidRPr="00180B8D">
        <w:rPr>
          <w:lang w:val="en-GB"/>
        </w:rPr>
        <w:t> </w:t>
      </w:r>
    </w:p>
    <w:p w14:paraId="223459D1" w14:textId="77777777" w:rsidR="00657236" w:rsidRPr="00180B8D" w:rsidRDefault="00D655E7">
      <w:pPr>
        <w:pStyle w:val="P68B1DB1-Normal3"/>
        <w:spacing w:after="0" w:line="240" w:lineRule="auto"/>
        <w:jc w:val="center"/>
        <w:rPr>
          <w:lang w:val="en-GB"/>
        </w:rPr>
      </w:pPr>
      <w:r w:rsidRPr="00180B8D">
        <w:rPr>
          <w:lang w:val="en-GB"/>
        </w:rPr>
        <w:t>Section 1</w:t>
      </w:r>
    </w:p>
    <w:p w14:paraId="4D6674DA" w14:textId="77777777" w:rsidR="00657236" w:rsidRPr="00180B8D" w:rsidRDefault="00D655E7">
      <w:pPr>
        <w:pStyle w:val="P68B1DB1-Normal3"/>
        <w:spacing w:after="0" w:line="240" w:lineRule="auto"/>
        <w:jc w:val="center"/>
        <w:rPr>
          <w:lang w:val="en-GB"/>
        </w:rPr>
      </w:pPr>
      <w:r w:rsidRPr="00180B8D">
        <w:rPr>
          <w:lang w:val="en-GB"/>
        </w:rPr>
        <w:t>General provisions</w:t>
      </w:r>
    </w:p>
    <w:p w14:paraId="6E9DA56F" w14:textId="1B552C6E" w:rsidR="00657236" w:rsidRPr="00180B8D" w:rsidRDefault="00D655E7">
      <w:pPr>
        <w:pStyle w:val="P68B1DB1-Normal2"/>
        <w:spacing w:after="0" w:line="240" w:lineRule="auto"/>
        <w:ind w:firstLine="567"/>
        <w:jc w:val="both"/>
        <w:rPr>
          <w:lang w:val="en-GB"/>
        </w:rPr>
      </w:pPr>
      <w:r w:rsidRPr="00180B8D">
        <w:rPr>
          <w:b/>
          <w:lang w:val="en-GB"/>
        </w:rPr>
        <w:t>17.</w:t>
      </w:r>
      <w:r w:rsidRPr="00180B8D">
        <w:rPr>
          <w:lang w:val="en-GB"/>
        </w:rPr>
        <w:t xml:space="preserve"> The National Bank of Moldova shall grant a bank prior </w:t>
      </w:r>
      <w:r w:rsidR="00637B03">
        <w:rPr>
          <w:lang w:val="en-GB"/>
        </w:rPr>
        <w:t>approval</w:t>
      </w:r>
      <w:r w:rsidRPr="00180B8D">
        <w:rPr>
          <w:lang w:val="en-GB"/>
        </w:rPr>
        <w:t xml:space="preserve"> to calculate its own funds requirements for CVA risk for a portfolio of transactions with one or more counterparties in accordance with </w:t>
      </w:r>
      <w:r w:rsidR="008258BF">
        <w:rPr>
          <w:lang w:val="en-GB"/>
        </w:rPr>
        <w:t>paragraph</w:t>
      </w:r>
      <w:r w:rsidRPr="00180B8D">
        <w:rPr>
          <w:lang w:val="en-GB"/>
        </w:rPr>
        <w:t xml:space="preserve"> 20, using the </w:t>
      </w:r>
      <w:r w:rsidR="007A7034">
        <w:rPr>
          <w:lang w:val="en-GB"/>
        </w:rPr>
        <w:t>s</w:t>
      </w:r>
      <w:r w:rsidRPr="00180B8D">
        <w:rPr>
          <w:lang w:val="en-GB"/>
        </w:rPr>
        <w:t xml:space="preserve">tandardised </w:t>
      </w:r>
      <w:r w:rsidR="007A7034">
        <w:rPr>
          <w:lang w:val="en-GB"/>
        </w:rPr>
        <w:t>a</w:t>
      </w:r>
      <w:r w:rsidRPr="00180B8D">
        <w:rPr>
          <w:lang w:val="en-GB"/>
        </w:rPr>
        <w:t>pproach, after having assessed whether the bank complies with the following requirements:</w:t>
      </w:r>
    </w:p>
    <w:p w14:paraId="30E09626" w14:textId="77777777" w:rsidR="00657236" w:rsidRPr="00180B8D" w:rsidRDefault="00D655E7">
      <w:pPr>
        <w:pStyle w:val="P68B1DB1-Normal2"/>
        <w:spacing w:after="0" w:line="240" w:lineRule="auto"/>
        <w:ind w:firstLine="567"/>
        <w:jc w:val="both"/>
        <w:rPr>
          <w:lang w:val="en-GB"/>
        </w:rPr>
      </w:pPr>
      <w:r w:rsidRPr="00180B8D">
        <w:rPr>
          <w:lang w:val="en-GB"/>
        </w:rPr>
        <w:t xml:space="preserve">17.1. the bank has established a subdivision which is responsible for the overall risk management of the bank and for hedging the CVA </w:t>
      </w:r>
      <w:proofErr w:type="gramStart"/>
      <w:r w:rsidRPr="00180B8D">
        <w:rPr>
          <w:lang w:val="en-GB"/>
        </w:rPr>
        <w:t>risk;</w:t>
      </w:r>
      <w:proofErr w:type="gramEnd"/>
    </w:p>
    <w:p w14:paraId="32ED0F57" w14:textId="5465366A" w:rsidR="00657236" w:rsidRPr="00180B8D" w:rsidRDefault="00D655E7">
      <w:pPr>
        <w:pStyle w:val="P68B1DB1-Normal2"/>
        <w:spacing w:after="0" w:line="240" w:lineRule="auto"/>
        <w:ind w:firstLine="567"/>
        <w:jc w:val="both"/>
        <w:rPr>
          <w:lang w:val="en-GB"/>
        </w:rPr>
      </w:pPr>
      <w:r w:rsidRPr="00180B8D">
        <w:rPr>
          <w:lang w:val="en-GB"/>
        </w:rPr>
        <w:t xml:space="preserve">17.2. for each counterparty concerned, the bank has developed a regulatory CVA model to calculate the CVA of that counterparty in accordance with </w:t>
      </w:r>
      <w:r w:rsidR="008258BF">
        <w:rPr>
          <w:lang w:val="en-GB"/>
        </w:rPr>
        <w:t>paragraph</w:t>
      </w:r>
      <w:r w:rsidR="009F15A2">
        <w:rPr>
          <w:lang w:val="en-GB"/>
        </w:rPr>
        <w:t>s</w:t>
      </w:r>
      <w:r w:rsidRPr="00180B8D">
        <w:rPr>
          <w:lang w:val="en-GB"/>
        </w:rPr>
        <w:t xml:space="preserve"> 21 to </w:t>
      </w:r>
      <w:proofErr w:type="gramStart"/>
      <w:r w:rsidRPr="00180B8D">
        <w:rPr>
          <w:lang w:val="en-GB"/>
        </w:rPr>
        <w:t>27;</w:t>
      </w:r>
      <w:proofErr w:type="gramEnd"/>
    </w:p>
    <w:p w14:paraId="4B7246C9" w14:textId="0062E784" w:rsidR="00657236" w:rsidRPr="00180B8D" w:rsidRDefault="00D655E7">
      <w:pPr>
        <w:pStyle w:val="P68B1DB1-Normal2"/>
        <w:spacing w:after="0" w:line="240" w:lineRule="auto"/>
        <w:ind w:firstLine="567"/>
        <w:jc w:val="both"/>
        <w:rPr>
          <w:lang w:val="en-GB"/>
        </w:rPr>
      </w:pPr>
      <w:r w:rsidRPr="00180B8D">
        <w:rPr>
          <w:lang w:val="en-GB"/>
        </w:rPr>
        <w:t xml:space="preserve">17.3. the bank is able to calculate, at least monthly, the CVA sensitivities of each counterparty concerned to the relevant risk factors determined in accordance with </w:t>
      </w:r>
      <w:r w:rsidR="008258BF">
        <w:rPr>
          <w:lang w:val="en-GB"/>
        </w:rPr>
        <w:t>paragraph</w:t>
      </w:r>
      <w:r w:rsidR="00B7272D">
        <w:rPr>
          <w:lang w:val="en-GB"/>
        </w:rPr>
        <w:t>s</w:t>
      </w:r>
      <w:r w:rsidRPr="00180B8D">
        <w:rPr>
          <w:lang w:val="en-GB"/>
        </w:rPr>
        <w:t xml:space="preserve"> </w:t>
      </w:r>
      <w:proofErr w:type="gramStart"/>
      <w:r w:rsidRPr="00180B8D">
        <w:rPr>
          <w:lang w:val="en-GB"/>
        </w:rPr>
        <w:t>28</w:t>
      </w:r>
      <w:r w:rsidR="00B7272D">
        <w:rPr>
          <w:lang w:val="en-GB"/>
        </w:rPr>
        <w:t>-</w:t>
      </w:r>
      <w:r w:rsidRPr="00180B8D">
        <w:rPr>
          <w:lang w:val="en-GB"/>
        </w:rPr>
        <w:t>40;</w:t>
      </w:r>
      <w:proofErr w:type="gramEnd"/>
    </w:p>
    <w:p w14:paraId="7A12601D" w14:textId="29D21C23" w:rsidR="00657236" w:rsidRPr="00180B8D" w:rsidRDefault="00D655E7">
      <w:pPr>
        <w:pStyle w:val="P68B1DB1-Normal2"/>
        <w:spacing w:after="0" w:line="240" w:lineRule="auto"/>
        <w:ind w:firstLine="567"/>
        <w:jc w:val="both"/>
        <w:rPr>
          <w:lang w:val="en-GB"/>
        </w:rPr>
      </w:pPr>
      <w:r w:rsidRPr="00180B8D">
        <w:rPr>
          <w:lang w:val="en-GB"/>
        </w:rPr>
        <w:t xml:space="preserve">17.4. for all positions in eligible hedges recognised in accordance with </w:t>
      </w:r>
      <w:r w:rsidR="008258BF">
        <w:rPr>
          <w:lang w:val="en-GB"/>
        </w:rPr>
        <w:t>paragraph</w:t>
      </w:r>
      <w:r w:rsidR="00B7272D">
        <w:rPr>
          <w:lang w:val="en-GB"/>
        </w:rPr>
        <w:t>s</w:t>
      </w:r>
      <w:r w:rsidRPr="00180B8D">
        <w:rPr>
          <w:lang w:val="en-GB"/>
        </w:rPr>
        <w:t xml:space="preserve"> 119–124 for the purposes of calculating the own funds requirements for CVA risk using the </w:t>
      </w:r>
      <w:r w:rsidR="00B7272D">
        <w:rPr>
          <w:lang w:val="en-GB"/>
        </w:rPr>
        <w:t>s</w:t>
      </w:r>
      <w:r w:rsidRPr="00180B8D">
        <w:rPr>
          <w:lang w:val="en-GB"/>
        </w:rPr>
        <w:t xml:space="preserve">tandardised </w:t>
      </w:r>
      <w:r w:rsidR="00B7272D">
        <w:rPr>
          <w:lang w:val="en-GB"/>
        </w:rPr>
        <w:t>a</w:t>
      </w:r>
      <w:r w:rsidRPr="00180B8D">
        <w:rPr>
          <w:lang w:val="en-GB"/>
        </w:rPr>
        <w:t xml:space="preserve">pproach, the bank shall be able to calculate, at least monthly, the sensitivities of those positions to the relevant risk factors determined in accordance with </w:t>
      </w:r>
      <w:r w:rsidR="008258BF">
        <w:rPr>
          <w:lang w:val="en-GB"/>
        </w:rPr>
        <w:t>paragraph</w:t>
      </w:r>
      <w:r w:rsidR="00B7272D">
        <w:rPr>
          <w:lang w:val="en-GB"/>
        </w:rPr>
        <w:t>s</w:t>
      </w:r>
      <w:r w:rsidRPr="00180B8D">
        <w:rPr>
          <w:lang w:val="en-GB"/>
        </w:rPr>
        <w:t xml:space="preserve"> 28–</w:t>
      </w:r>
      <w:proofErr w:type="gramStart"/>
      <w:r w:rsidRPr="00180B8D">
        <w:rPr>
          <w:lang w:val="en-GB"/>
        </w:rPr>
        <w:t>40;</w:t>
      </w:r>
      <w:proofErr w:type="gramEnd"/>
    </w:p>
    <w:p w14:paraId="2DFE233C" w14:textId="76B286BB" w:rsidR="00657236" w:rsidRPr="00180B8D" w:rsidRDefault="00D655E7">
      <w:pPr>
        <w:pStyle w:val="P68B1DB1-Normal2"/>
        <w:spacing w:after="0" w:line="240" w:lineRule="auto"/>
        <w:ind w:firstLine="567"/>
        <w:jc w:val="both"/>
        <w:rPr>
          <w:lang w:val="en-GB"/>
        </w:rPr>
      </w:pPr>
      <w:r w:rsidRPr="00180B8D">
        <w:rPr>
          <w:lang w:val="en-GB"/>
        </w:rPr>
        <w:t xml:space="preserve">17.5. the bank has established a risk control sub-division that is independent of the trading sub-divisions and the unit referred to in </w:t>
      </w:r>
      <w:r w:rsidR="00B7272D">
        <w:rPr>
          <w:lang w:val="en-GB"/>
        </w:rPr>
        <w:t>sub</w:t>
      </w:r>
      <w:r w:rsidR="008258BF">
        <w:rPr>
          <w:lang w:val="en-GB"/>
        </w:rPr>
        <w:t>paragraph</w:t>
      </w:r>
      <w:r w:rsidRPr="00180B8D">
        <w:rPr>
          <w:lang w:val="en-GB"/>
        </w:rPr>
        <w:t xml:space="preserve"> 17.1 and that reports directly to the </w:t>
      </w:r>
      <w:r w:rsidRPr="00180B8D">
        <w:rPr>
          <w:lang w:val="en-GB"/>
        </w:rPr>
        <w:lastRenderedPageBreak/>
        <w:t>management body; the risk control sub-division is responsible for the design and implementation of the standardised approach and prepares and analyses monthly reports on the results of that approach and, in addition, the risk control sub-division assesses the adequacy of the bank’s trading limits and includes the results of that assessment in its monthly reports; the risk control sub-division shall have sufficient staff with the appropriate level of compete</w:t>
      </w:r>
      <w:r w:rsidRPr="00180B8D">
        <w:rPr>
          <w:lang w:val="en-GB"/>
        </w:rPr>
        <w:t>nce to fulfil its purpose.</w:t>
      </w:r>
    </w:p>
    <w:p w14:paraId="099A8174" w14:textId="08CEF1FE" w:rsidR="00657236" w:rsidRPr="00180B8D" w:rsidRDefault="00D655E7">
      <w:pPr>
        <w:pStyle w:val="P68B1DB1-Normal2"/>
        <w:spacing w:after="0" w:line="240" w:lineRule="auto"/>
        <w:ind w:firstLine="567"/>
        <w:jc w:val="both"/>
        <w:rPr>
          <w:lang w:val="en-GB"/>
        </w:rPr>
      </w:pPr>
      <w:r w:rsidRPr="00180B8D">
        <w:rPr>
          <w:b/>
          <w:lang w:val="en-GB"/>
        </w:rPr>
        <w:t>18.</w:t>
      </w:r>
      <w:r w:rsidRPr="00180B8D">
        <w:rPr>
          <w:lang w:val="en-GB"/>
        </w:rPr>
        <w:t xml:space="preserve"> For the purposes of sub</w:t>
      </w:r>
      <w:r w:rsidR="008258BF">
        <w:rPr>
          <w:lang w:val="en-GB"/>
        </w:rPr>
        <w:t>paragraph</w:t>
      </w:r>
      <w:r w:rsidRPr="00180B8D">
        <w:rPr>
          <w:lang w:val="en-GB"/>
        </w:rPr>
        <w:t xml:space="preserve"> 17.3, the sensitivity of a counterparty’s CVA to a risk factor means the relative change in the value of that CVA, following a change in the value of one of the relevant risk factors of that CVA, calculated using the bank’s regulatory CVA model in accordance with </w:t>
      </w:r>
      <w:r w:rsidR="008258BF">
        <w:rPr>
          <w:lang w:val="en-GB"/>
        </w:rPr>
        <w:t>paragraph</w:t>
      </w:r>
      <w:r w:rsidR="001008D1">
        <w:rPr>
          <w:lang w:val="en-GB"/>
        </w:rPr>
        <w:t>s</w:t>
      </w:r>
      <w:r w:rsidRPr="00180B8D">
        <w:rPr>
          <w:lang w:val="en-GB"/>
        </w:rPr>
        <w:t xml:space="preserve"> 63 to 69.</w:t>
      </w:r>
    </w:p>
    <w:p w14:paraId="0764EBA7" w14:textId="20E43170" w:rsidR="00657236" w:rsidRPr="00180B8D" w:rsidRDefault="00D655E7">
      <w:pPr>
        <w:pStyle w:val="P68B1DB1-Normal2"/>
        <w:spacing w:after="0" w:line="240" w:lineRule="auto"/>
        <w:ind w:firstLine="567"/>
        <w:jc w:val="both"/>
        <w:rPr>
          <w:lang w:val="en-GB"/>
        </w:rPr>
      </w:pPr>
      <w:r w:rsidRPr="00180B8D">
        <w:rPr>
          <w:b/>
          <w:lang w:val="en-GB"/>
        </w:rPr>
        <w:t>19.</w:t>
      </w:r>
      <w:r w:rsidRPr="00180B8D">
        <w:rPr>
          <w:lang w:val="en-GB"/>
        </w:rPr>
        <w:t xml:space="preserve"> For the purposes of sub</w:t>
      </w:r>
      <w:r w:rsidR="008258BF">
        <w:rPr>
          <w:lang w:val="en-GB"/>
        </w:rPr>
        <w:t>paragraph</w:t>
      </w:r>
      <w:r w:rsidRPr="00180B8D">
        <w:rPr>
          <w:lang w:val="en-GB"/>
        </w:rPr>
        <w:t xml:space="preserve"> 17.4, the sensitivity of a position in an eligible hedge to a risk factor means the relative change in the value of that position </w:t>
      </w:r>
      <w:proofErr w:type="gramStart"/>
      <w:r w:rsidRPr="00180B8D">
        <w:rPr>
          <w:lang w:val="en-GB"/>
        </w:rPr>
        <w:t>as a result of</w:t>
      </w:r>
      <w:proofErr w:type="gramEnd"/>
      <w:r w:rsidRPr="00180B8D">
        <w:rPr>
          <w:lang w:val="en-GB"/>
        </w:rPr>
        <w:t xml:space="preserve"> a change in the value of one of the relevant risk factors of that position, calculated using the valuation model of the bank in accordance with </w:t>
      </w:r>
      <w:r w:rsidR="008258BF">
        <w:rPr>
          <w:lang w:val="en-GB"/>
        </w:rPr>
        <w:t>paragraph</w:t>
      </w:r>
      <w:r w:rsidR="001008D1">
        <w:rPr>
          <w:lang w:val="en-GB"/>
        </w:rPr>
        <w:t>s</w:t>
      </w:r>
      <w:r w:rsidRPr="00180B8D">
        <w:rPr>
          <w:lang w:val="en-GB"/>
        </w:rPr>
        <w:t xml:space="preserve"> 63 to 69.</w:t>
      </w:r>
    </w:p>
    <w:p w14:paraId="45B11519" w14:textId="2F4C44A6" w:rsidR="00657236" w:rsidRPr="00180B8D" w:rsidRDefault="00D655E7">
      <w:pPr>
        <w:pStyle w:val="P68B1DB1-Normal2"/>
        <w:spacing w:after="0" w:line="240" w:lineRule="auto"/>
        <w:ind w:firstLine="567"/>
        <w:jc w:val="both"/>
        <w:rPr>
          <w:lang w:val="en-GB"/>
        </w:rPr>
      </w:pPr>
      <w:r w:rsidRPr="00180B8D">
        <w:rPr>
          <w:b/>
          <w:lang w:val="en-GB"/>
        </w:rPr>
        <w:t>20.</w:t>
      </w:r>
      <w:r w:rsidRPr="00180B8D">
        <w:rPr>
          <w:lang w:val="en-GB"/>
        </w:rPr>
        <w:t xml:space="preserve"> Banks shall determine the own funds requirements for CVA risk under the </w:t>
      </w:r>
      <w:r w:rsidR="001008D1">
        <w:rPr>
          <w:lang w:val="en-GB"/>
        </w:rPr>
        <w:t>s</w:t>
      </w:r>
      <w:r w:rsidRPr="00180B8D">
        <w:rPr>
          <w:lang w:val="en-GB"/>
        </w:rPr>
        <w:t xml:space="preserve">tandardised </w:t>
      </w:r>
      <w:r w:rsidR="001008D1">
        <w:rPr>
          <w:lang w:val="en-GB"/>
        </w:rPr>
        <w:t>a</w:t>
      </w:r>
      <w:r w:rsidRPr="00180B8D">
        <w:rPr>
          <w:lang w:val="en-GB"/>
        </w:rPr>
        <w:t xml:space="preserve">pproach as the sum of the following own funds requirements calculated in accordance with </w:t>
      </w:r>
      <w:r w:rsidR="008258BF">
        <w:rPr>
          <w:lang w:val="en-GB"/>
        </w:rPr>
        <w:t>paragraph</w:t>
      </w:r>
      <w:r w:rsidR="001008D1">
        <w:rPr>
          <w:lang w:val="en-GB"/>
        </w:rPr>
        <w:t>s</w:t>
      </w:r>
      <w:r w:rsidRPr="00180B8D">
        <w:rPr>
          <w:lang w:val="en-GB"/>
        </w:rPr>
        <w:t xml:space="preserve"> 28</w:t>
      </w:r>
      <w:r w:rsidR="001008D1">
        <w:rPr>
          <w:lang w:val="en-GB"/>
        </w:rPr>
        <w:t>-</w:t>
      </w:r>
      <w:r w:rsidRPr="00180B8D">
        <w:rPr>
          <w:lang w:val="en-GB"/>
        </w:rPr>
        <w:t>40:</w:t>
      </w:r>
    </w:p>
    <w:p w14:paraId="35833919" w14:textId="77777777" w:rsidR="00657236" w:rsidRPr="00180B8D" w:rsidRDefault="00D655E7">
      <w:pPr>
        <w:pStyle w:val="P68B1DB1-Normal2"/>
        <w:spacing w:after="0" w:line="240" w:lineRule="auto"/>
        <w:ind w:firstLine="567"/>
        <w:jc w:val="both"/>
        <w:rPr>
          <w:lang w:val="en-GB"/>
        </w:rPr>
      </w:pPr>
      <w:r w:rsidRPr="00180B8D">
        <w:rPr>
          <w:lang w:val="en-GB"/>
        </w:rPr>
        <w:t xml:space="preserve">20.1. </w:t>
      </w:r>
      <w:proofErr w:type="spellStart"/>
      <w:r w:rsidRPr="00180B8D">
        <w:rPr>
          <w:lang w:val="en-GB"/>
        </w:rPr>
        <w:t>the</w:t>
      </w:r>
      <w:proofErr w:type="spellEnd"/>
      <w:r w:rsidRPr="00180B8D">
        <w:rPr>
          <w:lang w:val="en-GB"/>
        </w:rPr>
        <w:t xml:space="preserve"> own funds requirements for delta risk reflecting the risk of changes in the bank's CVA portfolio due to changes in relevant non-volatility related risk </w:t>
      </w:r>
      <w:proofErr w:type="gramStart"/>
      <w:r w:rsidRPr="00180B8D">
        <w:rPr>
          <w:lang w:val="en-GB"/>
        </w:rPr>
        <w:t>factors;</w:t>
      </w:r>
      <w:proofErr w:type="gramEnd"/>
    </w:p>
    <w:p w14:paraId="063245D5" w14:textId="77777777" w:rsidR="00657236" w:rsidRPr="00180B8D" w:rsidRDefault="00D655E7">
      <w:pPr>
        <w:pStyle w:val="P68B1DB1-Normal2"/>
        <w:spacing w:after="0" w:line="240" w:lineRule="auto"/>
        <w:ind w:firstLine="567"/>
        <w:jc w:val="both"/>
        <w:rPr>
          <w:lang w:val="en-GB"/>
        </w:rPr>
      </w:pPr>
      <w:r w:rsidRPr="00180B8D">
        <w:rPr>
          <w:lang w:val="en-GB"/>
        </w:rPr>
        <w:t xml:space="preserve">20.2. </w:t>
      </w:r>
      <w:proofErr w:type="spellStart"/>
      <w:r w:rsidRPr="00180B8D">
        <w:rPr>
          <w:lang w:val="en-GB"/>
        </w:rPr>
        <w:t>the</w:t>
      </w:r>
      <w:proofErr w:type="spellEnd"/>
      <w:r w:rsidRPr="00180B8D">
        <w:rPr>
          <w:lang w:val="en-GB"/>
        </w:rPr>
        <w:t xml:space="preserve"> own funds requirements for </w:t>
      </w:r>
      <w:proofErr w:type="spellStart"/>
      <w:r w:rsidRPr="00180B8D">
        <w:rPr>
          <w:lang w:val="en-GB"/>
        </w:rPr>
        <w:t>vega</w:t>
      </w:r>
      <w:proofErr w:type="spellEnd"/>
      <w:r w:rsidRPr="00180B8D">
        <w:rPr>
          <w:lang w:val="en-GB"/>
        </w:rPr>
        <w:t xml:space="preserve"> risk reflecting the risk of changes in the bank's CVA portfolio due to changes in relevant volatility-related risk factors.</w:t>
      </w:r>
    </w:p>
    <w:p w14:paraId="51ADB65F" w14:textId="77777777" w:rsidR="00657236" w:rsidRPr="00180B8D" w:rsidRDefault="00D655E7">
      <w:pPr>
        <w:pStyle w:val="P68B1DB1-Normal2"/>
        <w:spacing w:after="0" w:line="240" w:lineRule="auto"/>
        <w:ind w:firstLine="567"/>
        <w:jc w:val="both"/>
        <w:rPr>
          <w:lang w:val="en-GB"/>
        </w:rPr>
      </w:pPr>
      <w:r w:rsidRPr="00180B8D">
        <w:rPr>
          <w:lang w:val="en-GB"/>
        </w:rPr>
        <w:t> </w:t>
      </w:r>
    </w:p>
    <w:p w14:paraId="103A4AFB" w14:textId="77777777" w:rsidR="00657236" w:rsidRPr="00180B8D" w:rsidRDefault="00D655E7">
      <w:pPr>
        <w:pStyle w:val="P68B1DB1-Normal3"/>
        <w:spacing w:after="0" w:line="240" w:lineRule="auto"/>
        <w:jc w:val="center"/>
        <w:rPr>
          <w:lang w:val="en-GB"/>
        </w:rPr>
      </w:pPr>
      <w:r w:rsidRPr="00180B8D">
        <w:rPr>
          <w:lang w:val="en-GB"/>
        </w:rPr>
        <w:t>Section 2</w:t>
      </w:r>
    </w:p>
    <w:p w14:paraId="275B4B50" w14:textId="77777777" w:rsidR="00657236" w:rsidRPr="00180B8D" w:rsidRDefault="00D655E7">
      <w:pPr>
        <w:pStyle w:val="P68B1DB1-Normal3"/>
        <w:spacing w:after="0" w:line="240" w:lineRule="auto"/>
        <w:jc w:val="center"/>
        <w:rPr>
          <w:lang w:val="en-GB"/>
        </w:rPr>
      </w:pPr>
      <w:r w:rsidRPr="00180B8D">
        <w:rPr>
          <w:lang w:val="en-GB"/>
        </w:rPr>
        <w:t>Regulatory CVA model</w:t>
      </w:r>
    </w:p>
    <w:p w14:paraId="74650484" w14:textId="3A22C509" w:rsidR="00657236" w:rsidRPr="00180B8D" w:rsidRDefault="00D655E7">
      <w:pPr>
        <w:pStyle w:val="P68B1DB1-Normal2"/>
        <w:spacing w:after="0" w:line="240" w:lineRule="auto"/>
        <w:ind w:firstLine="567"/>
        <w:jc w:val="both"/>
        <w:rPr>
          <w:lang w:val="en-GB"/>
        </w:rPr>
      </w:pPr>
      <w:r w:rsidRPr="00180B8D">
        <w:rPr>
          <w:b/>
          <w:lang w:val="en-GB"/>
        </w:rPr>
        <w:t>21.</w:t>
      </w:r>
      <w:r w:rsidRPr="00180B8D">
        <w:rPr>
          <w:lang w:val="en-GB"/>
        </w:rPr>
        <w:t xml:space="preserve"> A regulatory CVA model used to calculate the own funds requirements for CVA risk in accordance with </w:t>
      </w:r>
      <w:r w:rsidR="008258BF">
        <w:rPr>
          <w:lang w:val="en-GB"/>
        </w:rPr>
        <w:t>paragraph</w:t>
      </w:r>
      <w:r w:rsidR="00554313">
        <w:rPr>
          <w:lang w:val="en-GB"/>
        </w:rPr>
        <w:t>s</w:t>
      </w:r>
      <w:r w:rsidRPr="00180B8D">
        <w:rPr>
          <w:lang w:val="en-GB"/>
        </w:rPr>
        <w:t xml:space="preserve"> 17</w:t>
      </w:r>
      <w:r w:rsidR="00554313">
        <w:rPr>
          <w:lang w:val="en-GB"/>
        </w:rPr>
        <w:t>-</w:t>
      </w:r>
      <w:r w:rsidRPr="00180B8D">
        <w:rPr>
          <w:lang w:val="en-GB"/>
        </w:rPr>
        <w:t xml:space="preserve">20 shall be conceptually sound and implemented with integrity and shall comply with </w:t>
      </w:r>
      <w:proofErr w:type="gramStart"/>
      <w:r w:rsidRPr="00180B8D">
        <w:rPr>
          <w:lang w:val="en-GB"/>
        </w:rPr>
        <w:t>all of</w:t>
      </w:r>
      <w:proofErr w:type="gramEnd"/>
      <w:r w:rsidRPr="00180B8D">
        <w:rPr>
          <w:lang w:val="en-GB"/>
        </w:rPr>
        <w:t xml:space="preserve"> the following requirements:</w:t>
      </w:r>
    </w:p>
    <w:p w14:paraId="626B2E97" w14:textId="7D108B91" w:rsidR="00657236" w:rsidRPr="00180B8D" w:rsidRDefault="00D655E7">
      <w:pPr>
        <w:pStyle w:val="P68B1DB1-Normal2"/>
        <w:spacing w:after="0" w:line="240" w:lineRule="auto"/>
        <w:ind w:firstLine="567"/>
        <w:jc w:val="both"/>
        <w:rPr>
          <w:lang w:val="en-GB"/>
        </w:rPr>
      </w:pPr>
      <w:r w:rsidRPr="00180B8D">
        <w:rPr>
          <w:lang w:val="en-GB"/>
        </w:rPr>
        <w:t xml:space="preserve">21.1. the regulatory CVA model is capable of modelling the CVA of a given counterparty, recognising netting and margin agreements at netting set level, where </w:t>
      </w:r>
      <w:proofErr w:type="gramStart"/>
      <w:r w:rsidRPr="00180B8D">
        <w:rPr>
          <w:lang w:val="en-GB"/>
        </w:rPr>
        <w:t>applicable;</w:t>
      </w:r>
      <w:proofErr w:type="gramEnd"/>
    </w:p>
    <w:p w14:paraId="44E753C3" w14:textId="014E8EC4" w:rsidR="00657236" w:rsidRPr="00180B8D" w:rsidRDefault="00D655E7">
      <w:pPr>
        <w:pStyle w:val="P68B1DB1-Normal2"/>
        <w:spacing w:after="0" w:line="240" w:lineRule="auto"/>
        <w:ind w:firstLine="567"/>
        <w:jc w:val="both"/>
        <w:rPr>
          <w:lang w:val="en-GB"/>
        </w:rPr>
      </w:pPr>
      <w:r w:rsidRPr="00180B8D">
        <w:rPr>
          <w:lang w:val="en-GB"/>
        </w:rPr>
        <w:t xml:space="preserve">21.2. the bank shall estimate the default probabilities of the counterparty on the basis of the credit spreads of the counterparty and the </w:t>
      </w:r>
      <w:r w:rsidR="00554313">
        <w:rPr>
          <w:lang w:val="en-GB"/>
        </w:rPr>
        <w:t xml:space="preserve">loss given </w:t>
      </w:r>
      <w:r w:rsidR="00D251B0">
        <w:rPr>
          <w:lang w:val="en-GB"/>
        </w:rPr>
        <w:t>default</w:t>
      </w:r>
      <w:r w:rsidRPr="00180B8D">
        <w:rPr>
          <w:lang w:val="en-GB"/>
        </w:rPr>
        <w:t xml:space="preserve"> according to the expected market consensus for that </w:t>
      </w:r>
      <w:proofErr w:type="gramStart"/>
      <w:r w:rsidRPr="00180B8D">
        <w:rPr>
          <w:lang w:val="en-GB"/>
        </w:rPr>
        <w:t>counterparty;</w:t>
      </w:r>
      <w:proofErr w:type="gramEnd"/>
    </w:p>
    <w:p w14:paraId="798531CF" w14:textId="5DA4375F" w:rsidR="00657236" w:rsidRPr="00180B8D" w:rsidRDefault="00D655E7">
      <w:pPr>
        <w:pStyle w:val="P68B1DB1-Normal2"/>
        <w:spacing w:after="0" w:line="240" w:lineRule="auto"/>
        <w:ind w:firstLine="567"/>
        <w:jc w:val="both"/>
        <w:rPr>
          <w:lang w:val="en-GB"/>
        </w:rPr>
      </w:pPr>
      <w:r w:rsidRPr="00180B8D">
        <w:rPr>
          <w:lang w:val="en-GB"/>
        </w:rPr>
        <w:t xml:space="preserve">21.3. the expected loss given default referred to in </w:t>
      </w:r>
      <w:r w:rsidR="00047228">
        <w:rPr>
          <w:lang w:val="en-GB"/>
        </w:rPr>
        <w:t>sub</w:t>
      </w:r>
      <w:r w:rsidR="008258BF">
        <w:rPr>
          <w:lang w:val="en-GB"/>
        </w:rPr>
        <w:t>paragraph</w:t>
      </w:r>
      <w:r w:rsidRPr="00180B8D">
        <w:rPr>
          <w:lang w:val="en-GB"/>
        </w:rPr>
        <w:t xml:space="preserve"> 21.1 is the same as the loss given default according to the expected market consensus referred to in </w:t>
      </w:r>
      <w:r w:rsidR="00047228">
        <w:rPr>
          <w:lang w:val="en-GB"/>
        </w:rPr>
        <w:t>sub</w:t>
      </w:r>
      <w:r w:rsidR="008258BF">
        <w:rPr>
          <w:lang w:val="en-GB"/>
        </w:rPr>
        <w:t>paragraph</w:t>
      </w:r>
      <w:r w:rsidRPr="00180B8D">
        <w:rPr>
          <w:lang w:val="en-GB"/>
        </w:rPr>
        <w:t xml:space="preserve"> 21.2, unless the bank can demonstrate that the ranking of the portfolio of transactions with that counterparty differs from the ranking of senior unsecured bonds issued by that </w:t>
      </w:r>
      <w:proofErr w:type="gramStart"/>
      <w:r w:rsidRPr="00180B8D">
        <w:rPr>
          <w:lang w:val="en-GB"/>
        </w:rPr>
        <w:t>counterparty;</w:t>
      </w:r>
      <w:proofErr w:type="gramEnd"/>
    </w:p>
    <w:p w14:paraId="05D4C777" w14:textId="46ADE51F" w:rsidR="00657236" w:rsidRPr="00180B8D" w:rsidRDefault="00D655E7">
      <w:pPr>
        <w:pStyle w:val="P68B1DB1-Normal2"/>
        <w:spacing w:after="0" w:line="240" w:lineRule="auto"/>
        <w:ind w:firstLine="567"/>
        <w:jc w:val="both"/>
        <w:rPr>
          <w:lang w:val="en-GB"/>
        </w:rPr>
      </w:pPr>
      <w:r w:rsidRPr="00E264E9">
        <w:rPr>
          <w:lang w:val="en-GB"/>
        </w:rPr>
        <w:t xml:space="preserve">21.4. at each subsequent </w:t>
      </w:r>
      <w:r w:rsidR="008258BF">
        <w:rPr>
          <w:lang w:val="en-GB"/>
        </w:rPr>
        <w:t>paragraph</w:t>
      </w:r>
      <w:r w:rsidRPr="00E264E9">
        <w:rPr>
          <w:lang w:val="en-GB"/>
        </w:rPr>
        <w:t xml:space="preserve"> in time, the simulated discounted future exposure of the portfolio of transactions with a counterparty shall be calculated using an exposure model by re-evaluating all transactions in that portfolio on the basis of simulated common changes in market risk factors that are material to those transactions, using an appropriate number of scenarios and updating prices up to the date of the calculation on the basis of risk-free interest rates;</w:t>
      </w:r>
    </w:p>
    <w:p w14:paraId="4EF4DE0C" w14:textId="77777777" w:rsidR="00657236" w:rsidRPr="00180B8D" w:rsidRDefault="00D655E7">
      <w:pPr>
        <w:pStyle w:val="P68B1DB1-Normal2"/>
        <w:spacing w:after="0" w:line="240" w:lineRule="auto"/>
        <w:ind w:firstLine="567"/>
        <w:jc w:val="both"/>
        <w:rPr>
          <w:lang w:val="en-GB"/>
        </w:rPr>
      </w:pPr>
      <w:r w:rsidRPr="00180B8D">
        <w:rPr>
          <w:lang w:val="en-GB"/>
        </w:rPr>
        <w:t xml:space="preserve">21.5. the regulatory CVA model is capable of modelling the material dependence between the simulated discounted future exposure of the portfolio of transactions and the credit spreads of the </w:t>
      </w:r>
      <w:proofErr w:type="gramStart"/>
      <w:r w:rsidRPr="00180B8D">
        <w:rPr>
          <w:lang w:val="en-GB"/>
        </w:rPr>
        <w:t>counterparty;</w:t>
      </w:r>
      <w:proofErr w:type="gramEnd"/>
    </w:p>
    <w:p w14:paraId="22F74695" w14:textId="77777777" w:rsidR="00657236" w:rsidRPr="00180B8D" w:rsidRDefault="00D655E7">
      <w:pPr>
        <w:pStyle w:val="P68B1DB1-Normal2"/>
        <w:spacing w:after="0" w:line="240" w:lineRule="auto"/>
        <w:ind w:firstLine="567"/>
        <w:jc w:val="both"/>
        <w:rPr>
          <w:lang w:val="en-GB"/>
        </w:rPr>
      </w:pPr>
      <w:r w:rsidRPr="00180B8D">
        <w:rPr>
          <w:lang w:val="en-GB"/>
        </w:rPr>
        <w:t>21.6. where transactions in the portfolio are included in a netting set subject to a margin agreement and daily market valuation, collateral posted and received as part of that agreement shall be recognised as a risk-mitigating factor in the simulated discounted future exposure provided that the following conditions are met:</w:t>
      </w:r>
    </w:p>
    <w:p w14:paraId="035B7BE7" w14:textId="77777777" w:rsidR="00657236" w:rsidRPr="00180B8D" w:rsidRDefault="00D655E7">
      <w:pPr>
        <w:pStyle w:val="P68B1DB1-Normal2"/>
        <w:spacing w:after="0" w:line="240" w:lineRule="auto"/>
        <w:ind w:firstLine="567"/>
        <w:jc w:val="both"/>
        <w:rPr>
          <w:lang w:val="en-GB"/>
        </w:rPr>
      </w:pPr>
      <w:r w:rsidRPr="00180B8D">
        <w:rPr>
          <w:lang w:val="en-GB"/>
        </w:rPr>
        <w:t xml:space="preserve">21.6.1. the bank shall determine the margin period of risk for that netting </w:t>
      </w:r>
      <w:proofErr w:type="gramStart"/>
      <w:r w:rsidRPr="00180B8D">
        <w:rPr>
          <w:lang w:val="en-GB"/>
        </w:rPr>
        <w:t>set in</w:t>
      </w:r>
      <w:proofErr w:type="gramEnd"/>
      <w:r w:rsidRPr="00180B8D">
        <w:rPr>
          <w:lang w:val="en-GB"/>
        </w:rPr>
        <w:t xml:space="preserve"> accordance with the requirements for applying the internal model method to counterparty credit risk and shall reflect that margin period in the calculation of the simulated discounted future exposure;</w:t>
      </w:r>
    </w:p>
    <w:p w14:paraId="67AD021D" w14:textId="365537C2" w:rsidR="00657236" w:rsidRPr="00180B8D" w:rsidRDefault="00D655E7">
      <w:pPr>
        <w:pStyle w:val="P68B1DB1-Normal2"/>
        <w:spacing w:after="0" w:line="240" w:lineRule="auto"/>
        <w:ind w:firstLine="567"/>
        <w:jc w:val="both"/>
        <w:rPr>
          <w:lang w:val="en-GB"/>
        </w:rPr>
      </w:pPr>
      <w:r w:rsidRPr="00180B8D">
        <w:rPr>
          <w:lang w:val="en-GB"/>
        </w:rPr>
        <w:t xml:space="preserve">21.6.2. all applicable features of the margin agreement, including the frequency of margin calls, the type of contractually eligible collateral, </w:t>
      </w:r>
      <w:r w:rsidR="00CE137D">
        <w:rPr>
          <w:lang w:val="en-GB"/>
        </w:rPr>
        <w:t xml:space="preserve">the </w:t>
      </w:r>
      <w:r w:rsidRPr="00180B8D">
        <w:rPr>
          <w:lang w:val="en-GB"/>
        </w:rPr>
        <w:t xml:space="preserve">threshold amounts, </w:t>
      </w:r>
      <w:r w:rsidR="00CE137D">
        <w:rPr>
          <w:lang w:val="en-GB"/>
        </w:rPr>
        <w:t xml:space="preserve">the </w:t>
      </w:r>
      <w:r w:rsidRPr="00180B8D">
        <w:rPr>
          <w:lang w:val="en-GB"/>
        </w:rPr>
        <w:t xml:space="preserve">minimum amounts of </w:t>
      </w:r>
      <w:r w:rsidRPr="00180B8D">
        <w:rPr>
          <w:lang w:val="en-GB"/>
        </w:rPr>
        <w:lastRenderedPageBreak/>
        <w:t xml:space="preserve">transfers, </w:t>
      </w:r>
      <w:r w:rsidR="00CE137D">
        <w:rPr>
          <w:lang w:val="en-GB"/>
        </w:rPr>
        <w:t xml:space="preserve">the </w:t>
      </w:r>
      <w:r w:rsidRPr="00180B8D">
        <w:rPr>
          <w:lang w:val="en-GB"/>
        </w:rPr>
        <w:t xml:space="preserve">independent amounts and </w:t>
      </w:r>
      <w:r w:rsidR="008D48F4">
        <w:rPr>
          <w:lang w:val="en-GB"/>
        </w:rPr>
        <w:t xml:space="preserve">the </w:t>
      </w:r>
      <w:r w:rsidRPr="00180B8D">
        <w:rPr>
          <w:lang w:val="en-GB"/>
        </w:rPr>
        <w:t>initial margins for both the bank and the counterparty are appropriately reflected in the calculation of the simulated discounted future exposure.</w:t>
      </w:r>
    </w:p>
    <w:p w14:paraId="73371163" w14:textId="214F957A" w:rsidR="00657236" w:rsidRPr="00180B8D" w:rsidRDefault="00D655E7">
      <w:pPr>
        <w:pStyle w:val="P68B1DB1-Normal2"/>
        <w:spacing w:after="0" w:line="240" w:lineRule="auto"/>
        <w:ind w:firstLine="567"/>
        <w:jc w:val="both"/>
        <w:rPr>
          <w:lang w:val="en-GB"/>
        </w:rPr>
      </w:pPr>
      <w:r w:rsidRPr="00180B8D">
        <w:rPr>
          <w:lang w:val="en-GB"/>
        </w:rPr>
        <w:t xml:space="preserve">21.6.3. the bank has </w:t>
      </w:r>
      <w:r w:rsidR="006C5E3F" w:rsidRPr="006C5E3F">
        <w:rPr>
          <w:lang w:val="en-GB"/>
        </w:rPr>
        <w:t>established</w:t>
      </w:r>
      <w:r w:rsidRPr="00180B8D">
        <w:rPr>
          <w:lang w:val="en-GB"/>
        </w:rPr>
        <w:t xml:space="preserve"> a collateral management unit that complies with the application of the internal model method to the credit risk of the counterparty to all collateral recognised for the purpose of calculating the own funds requirements for CVA risk using the </w:t>
      </w:r>
      <w:r w:rsidR="006C5E3F">
        <w:rPr>
          <w:lang w:val="en-GB"/>
        </w:rPr>
        <w:t>s</w:t>
      </w:r>
      <w:r w:rsidRPr="00180B8D">
        <w:rPr>
          <w:lang w:val="en-GB"/>
        </w:rPr>
        <w:t xml:space="preserve">tandardised </w:t>
      </w:r>
      <w:r w:rsidR="006C5E3F">
        <w:rPr>
          <w:lang w:val="en-GB"/>
        </w:rPr>
        <w:t>a</w:t>
      </w:r>
      <w:r w:rsidRPr="00180B8D">
        <w:rPr>
          <w:lang w:val="en-GB"/>
        </w:rPr>
        <w:t>pproach.</w:t>
      </w:r>
    </w:p>
    <w:p w14:paraId="22A2F0A9" w14:textId="296CEFB6" w:rsidR="00657236" w:rsidRPr="00180B8D" w:rsidRDefault="00D655E7">
      <w:pPr>
        <w:pStyle w:val="P68B1DB1-Normal2"/>
        <w:spacing w:after="0" w:line="240" w:lineRule="auto"/>
        <w:ind w:firstLine="567"/>
        <w:jc w:val="both"/>
        <w:rPr>
          <w:lang w:val="en-GB"/>
        </w:rPr>
      </w:pPr>
      <w:r w:rsidRPr="00C214AB">
        <w:rPr>
          <w:b/>
          <w:lang w:val="en-GB"/>
        </w:rPr>
        <w:t>22.</w:t>
      </w:r>
      <w:r w:rsidRPr="00C214AB">
        <w:rPr>
          <w:lang w:val="en-GB"/>
        </w:rPr>
        <w:t xml:space="preserve"> For the purposes of </w:t>
      </w:r>
      <w:r w:rsidRPr="00637B03">
        <w:rPr>
          <w:lang w:val="en-GB"/>
        </w:rPr>
        <w:t>sub</w:t>
      </w:r>
      <w:r w:rsidR="00530D3E" w:rsidRPr="00637B03">
        <w:rPr>
          <w:lang w:val="en-GB"/>
        </w:rPr>
        <w:t>p</w:t>
      </w:r>
      <w:r w:rsidR="00C214AB" w:rsidRPr="00637B03">
        <w:rPr>
          <w:lang w:val="en-GB"/>
        </w:rPr>
        <w:t>aragraph</w:t>
      </w:r>
      <w:r w:rsidRPr="00180B8D">
        <w:rPr>
          <w:lang w:val="en-GB"/>
        </w:rPr>
        <w:t xml:space="preserve"> 21.1, the CVA shall have a positive sign and shall be calculated on the basis of the expected default losses of the counterparty, an appropriate set of probability of default of the counterparty at future times and an appropriate set of simulated discounted future exposures of the portfolio of transactions with that counterparty at future times until the maturity of the longest transaction in that portfolio.</w:t>
      </w:r>
    </w:p>
    <w:p w14:paraId="5FF75A3C" w14:textId="488298CF" w:rsidR="00657236" w:rsidRPr="00180B8D" w:rsidRDefault="00D655E7">
      <w:pPr>
        <w:pStyle w:val="P68B1DB1-Normal2"/>
        <w:spacing w:after="0" w:line="240" w:lineRule="auto"/>
        <w:ind w:firstLine="567"/>
        <w:jc w:val="both"/>
        <w:rPr>
          <w:lang w:val="en-GB"/>
        </w:rPr>
      </w:pPr>
      <w:r w:rsidRPr="00180B8D">
        <w:rPr>
          <w:b/>
          <w:lang w:val="en-GB"/>
        </w:rPr>
        <w:t>23.</w:t>
      </w:r>
      <w:r w:rsidRPr="00180B8D">
        <w:rPr>
          <w:lang w:val="en-GB"/>
        </w:rPr>
        <w:t xml:space="preserve"> For the purposes of the demonstration referred to in </w:t>
      </w:r>
      <w:r w:rsidR="00C214AB">
        <w:rPr>
          <w:lang w:val="en-GB"/>
        </w:rPr>
        <w:t>subparagraph</w:t>
      </w:r>
      <w:r w:rsidRPr="00180B8D">
        <w:rPr>
          <w:lang w:val="en-GB"/>
        </w:rPr>
        <w:t xml:space="preserve"> 21.3, collateral received from the counterparty shall not change the ranking of the exposure.</w:t>
      </w:r>
    </w:p>
    <w:p w14:paraId="2F4D9DA5" w14:textId="7C418E6E" w:rsidR="00657236" w:rsidRPr="00180B8D" w:rsidRDefault="00D655E7">
      <w:pPr>
        <w:pStyle w:val="P68B1DB1-Normal2"/>
        <w:spacing w:after="0" w:line="240" w:lineRule="auto"/>
        <w:ind w:firstLine="567"/>
        <w:jc w:val="both"/>
        <w:rPr>
          <w:lang w:val="en-GB"/>
        </w:rPr>
      </w:pPr>
      <w:r w:rsidRPr="00180B8D">
        <w:rPr>
          <w:b/>
          <w:lang w:val="en-GB"/>
        </w:rPr>
        <w:t>24.</w:t>
      </w:r>
      <w:r w:rsidRPr="00180B8D">
        <w:rPr>
          <w:lang w:val="en-GB"/>
        </w:rPr>
        <w:t xml:space="preserve"> For the purposes of </w:t>
      </w:r>
      <w:r w:rsidR="00C214AB">
        <w:rPr>
          <w:lang w:val="en-GB"/>
        </w:rPr>
        <w:t>subparagraph</w:t>
      </w:r>
      <w:r w:rsidRPr="00180B8D">
        <w:rPr>
          <w:lang w:val="en-GB"/>
        </w:rPr>
        <w:t xml:space="preserve"> 21.6.3, where a bank has already established a collateral management unit to use the internal model method applied to counterparty credit risk, it shall not be required to establish an additional collateral management subdivision if that bank demonstrates to its competent authority that that subdivision complies with the requirements set out in applying the internal model method to counterparty credit risk for collateral recognised for the purpose of calculating own funds requirements for CVA risk using th</w:t>
      </w:r>
      <w:r w:rsidRPr="00180B8D">
        <w:rPr>
          <w:lang w:val="en-GB"/>
        </w:rPr>
        <w:t xml:space="preserve">e </w:t>
      </w:r>
      <w:r w:rsidR="00C214AB">
        <w:rPr>
          <w:lang w:val="en-GB"/>
        </w:rPr>
        <w:t>s</w:t>
      </w:r>
      <w:r w:rsidRPr="00180B8D">
        <w:rPr>
          <w:lang w:val="en-GB"/>
        </w:rPr>
        <w:t xml:space="preserve">tandardised </w:t>
      </w:r>
      <w:r w:rsidR="00C214AB">
        <w:rPr>
          <w:lang w:val="en-GB"/>
        </w:rPr>
        <w:t>a</w:t>
      </w:r>
      <w:r w:rsidRPr="00180B8D">
        <w:rPr>
          <w:lang w:val="en-GB"/>
        </w:rPr>
        <w:t>pproach.</w:t>
      </w:r>
    </w:p>
    <w:p w14:paraId="4FA5815B" w14:textId="77777777" w:rsidR="00657236" w:rsidRPr="00180B8D" w:rsidRDefault="00D655E7">
      <w:pPr>
        <w:pStyle w:val="P68B1DB1-Normal2"/>
        <w:spacing w:after="0" w:line="240" w:lineRule="auto"/>
        <w:ind w:firstLine="567"/>
        <w:jc w:val="both"/>
        <w:rPr>
          <w:lang w:val="en-GB"/>
        </w:rPr>
      </w:pPr>
      <w:r w:rsidRPr="00E90355">
        <w:rPr>
          <w:b/>
          <w:lang w:val="en-GB"/>
        </w:rPr>
        <w:t>25.</w:t>
      </w:r>
      <w:r w:rsidRPr="00E90355">
        <w:rPr>
          <w:lang w:val="en-GB"/>
        </w:rPr>
        <w:t xml:space="preserve"> For the purposes of subparagraph 21.2, if the spreads of the </w:t>
      </w:r>
      <w:r w:rsidRPr="00E90355">
        <w:rPr>
          <w:iCs/>
          <w:lang w:val="en-GB"/>
        </w:rPr>
        <w:t>counterparty</w:t>
      </w:r>
      <w:r w:rsidRPr="00E90355">
        <w:rPr>
          <w:i/>
          <w:lang w:val="en-GB"/>
        </w:rPr>
        <w:t xml:space="preserve"> credit default swaps</w:t>
      </w:r>
      <w:r w:rsidRPr="00E90355">
        <w:rPr>
          <w:lang w:val="en-GB"/>
        </w:rPr>
        <w:t xml:space="preserve"> are observable</w:t>
      </w:r>
      <w:r w:rsidRPr="00180B8D">
        <w:rPr>
          <w:lang w:val="en-GB"/>
        </w:rPr>
        <w:t xml:space="preserve"> in the market, the bank shall use those spreads. Where such </w:t>
      </w:r>
      <w:r w:rsidRPr="00180B8D">
        <w:rPr>
          <w:i/>
          <w:lang w:val="en-GB"/>
        </w:rPr>
        <w:t>credit default swap</w:t>
      </w:r>
      <w:r w:rsidRPr="00180B8D">
        <w:rPr>
          <w:lang w:val="en-GB"/>
        </w:rPr>
        <w:t xml:space="preserve"> spreads are not available, banks shall use one of the following:</w:t>
      </w:r>
    </w:p>
    <w:p w14:paraId="1B6065AA" w14:textId="77777777" w:rsidR="00657236" w:rsidRPr="00180B8D" w:rsidRDefault="00D655E7">
      <w:pPr>
        <w:pStyle w:val="P68B1DB1-Normal2"/>
        <w:spacing w:after="0" w:line="240" w:lineRule="auto"/>
        <w:ind w:firstLine="567"/>
        <w:jc w:val="both"/>
        <w:rPr>
          <w:lang w:val="en-GB"/>
        </w:rPr>
      </w:pPr>
      <w:r w:rsidRPr="00180B8D">
        <w:rPr>
          <w:lang w:val="en-GB"/>
        </w:rPr>
        <w:t xml:space="preserve">25.1. credit spreads on other instruments issued by the counterparty that reflect current market </w:t>
      </w:r>
      <w:proofErr w:type="gramStart"/>
      <w:r w:rsidRPr="00180B8D">
        <w:rPr>
          <w:lang w:val="en-GB"/>
        </w:rPr>
        <w:t>conditions;</w:t>
      </w:r>
      <w:proofErr w:type="gramEnd"/>
    </w:p>
    <w:p w14:paraId="5C28E9EC" w14:textId="77777777" w:rsidR="00657236" w:rsidRPr="00180B8D" w:rsidRDefault="00D655E7">
      <w:pPr>
        <w:pStyle w:val="P68B1DB1-Normal2"/>
        <w:spacing w:after="0" w:line="240" w:lineRule="auto"/>
        <w:ind w:firstLine="567"/>
        <w:jc w:val="both"/>
        <w:rPr>
          <w:lang w:val="en-GB"/>
        </w:rPr>
      </w:pPr>
      <w:r w:rsidRPr="00180B8D">
        <w:rPr>
          <w:lang w:val="en-GB"/>
        </w:rPr>
        <w:t>25.2. the approximate margins that are appropriate in view of the rating, industry and counterparty region.</w:t>
      </w:r>
    </w:p>
    <w:p w14:paraId="28A2E14C" w14:textId="77777777" w:rsidR="00657236" w:rsidRPr="00180B8D" w:rsidRDefault="00D655E7">
      <w:pPr>
        <w:pStyle w:val="P68B1DB1-Normal2"/>
        <w:spacing w:after="0" w:line="240" w:lineRule="auto"/>
        <w:ind w:firstLine="567"/>
        <w:jc w:val="both"/>
        <w:rPr>
          <w:lang w:val="en-GB"/>
        </w:rPr>
      </w:pPr>
      <w:r w:rsidRPr="00180B8D">
        <w:rPr>
          <w:b/>
          <w:lang w:val="en-GB"/>
        </w:rPr>
        <w:t>26.</w:t>
      </w:r>
      <w:r w:rsidRPr="00180B8D">
        <w:rPr>
          <w:lang w:val="en-GB"/>
        </w:rPr>
        <w:t xml:space="preserve"> The bank using a regulatory CVA model shall comply with all qualitative requirements as follows:</w:t>
      </w:r>
    </w:p>
    <w:p w14:paraId="0BA9DCEE" w14:textId="77777777" w:rsidR="00657236" w:rsidRPr="00180B8D" w:rsidRDefault="00D655E7">
      <w:pPr>
        <w:pStyle w:val="P68B1DB1-Normal2"/>
        <w:spacing w:after="0" w:line="240" w:lineRule="auto"/>
        <w:ind w:firstLine="567"/>
        <w:jc w:val="both"/>
        <w:rPr>
          <w:lang w:val="en-GB"/>
        </w:rPr>
      </w:pPr>
      <w:r w:rsidRPr="00180B8D">
        <w:rPr>
          <w:lang w:val="en-GB"/>
        </w:rPr>
        <w:t xml:space="preserve">26.1. the exposure model referred to in paragraph 21 is part of the bank's internal CVA risk management system which includes the identification, measurement, management, approval and internal reporting of CVA and CVA risk for accounting </w:t>
      </w:r>
      <w:proofErr w:type="gramStart"/>
      <w:r w:rsidRPr="00180B8D">
        <w:rPr>
          <w:lang w:val="en-GB"/>
        </w:rPr>
        <w:t>purposes;</w:t>
      </w:r>
      <w:proofErr w:type="gramEnd"/>
    </w:p>
    <w:p w14:paraId="0E8D5268" w14:textId="77777777" w:rsidR="00657236" w:rsidRPr="00180B8D" w:rsidRDefault="00D655E7">
      <w:pPr>
        <w:pStyle w:val="P68B1DB1-Normal2"/>
        <w:spacing w:after="0" w:line="240" w:lineRule="auto"/>
        <w:ind w:firstLine="567"/>
        <w:jc w:val="both"/>
        <w:rPr>
          <w:lang w:val="en-GB"/>
        </w:rPr>
      </w:pPr>
      <w:r w:rsidRPr="00180B8D">
        <w:rPr>
          <w:lang w:val="en-GB"/>
        </w:rPr>
        <w:t xml:space="preserve">26.2. the bank has a process in place to ensure compliance with a documented set of internal policies, controls, model performance reviews and procedures relating to the exposure model referred to in paragraph </w:t>
      </w:r>
      <w:proofErr w:type="gramStart"/>
      <w:r w:rsidRPr="00180B8D">
        <w:rPr>
          <w:lang w:val="en-GB"/>
        </w:rPr>
        <w:t>21;</w:t>
      </w:r>
      <w:proofErr w:type="gramEnd"/>
    </w:p>
    <w:p w14:paraId="5E9F1F3E" w14:textId="170F764C" w:rsidR="00657236" w:rsidRPr="00180B8D" w:rsidRDefault="00D655E7">
      <w:pPr>
        <w:pStyle w:val="P68B1DB1-Normal2"/>
        <w:spacing w:after="0" w:line="240" w:lineRule="auto"/>
        <w:ind w:firstLine="567"/>
        <w:jc w:val="both"/>
        <w:rPr>
          <w:lang w:val="en-GB"/>
        </w:rPr>
      </w:pPr>
      <w:r w:rsidRPr="00180B8D">
        <w:rPr>
          <w:lang w:val="en-GB"/>
        </w:rPr>
        <w:t xml:space="preserve">26.3. the bank has an independent validation </w:t>
      </w:r>
      <w:r w:rsidR="00AB6411">
        <w:rPr>
          <w:lang w:val="en-GB"/>
        </w:rPr>
        <w:t>unit</w:t>
      </w:r>
      <w:r w:rsidRPr="00180B8D">
        <w:rPr>
          <w:lang w:val="en-GB"/>
        </w:rPr>
        <w:t xml:space="preserve"> that is responsible for the initial and ongoing effective validation of the exposure model referred to in paragraph 21; this </w:t>
      </w:r>
      <w:r w:rsidR="00AB6411">
        <w:rPr>
          <w:lang w:val="en-GB"/>
        </w:rPr>
        <w:t>unit</w:t>
      </w:r>
      <w:r w:rsidRPr="00180B8D">
        <w:rPr>
          <w:lang w:val="en-GB"/>
        </w:rPr>
        <w:t xml:space="preserve"> is independent of the loan and trading </w:t>
      </w:r>
      <w:r w:rsidR="00AB6411">
        <w:rPr>
          <w:lang w:val="en-GB"/>
        </w:rPr>
        <w:t>units</w:t>
      </w:r>
      <w:r w:rsidRPr="00180B8D">
        <w:rPr>
          <w:lang w:val="en-GB"/>
        </w:rPr>
        <w:t xml:space="preserve">, including the </w:t>
      </w:r>
      <w:r w:rsidR="00AB6411">
        <w:rPr>
          <w:lang w:val="en-GB"/>
        </w:rPr>
        <w:t>unit</w:t>
      </w:r>
      <w:r w:rsidRPr="00180B8D">
        <w:rPr>
          <w:lang w:val="en-GB"/>
        </w:rPr>
        <w:t xml:space="preserve"> referred to in subparagraph 17.1, and reports directly to the executive body; the </w:t>
      </w:r>
      <w:r w:rsidR="00AB6411">
        <w:rPr>
          <w:lang w:val="en-GB"/>
        </w:rPr>
        <w:t>unit</w:t>
      </w:r>
      <w:r w:rsidRPr="00180B8D">
        <w:rPr>
          <w:lang w:val="en-GB"/>
        </w:rPr>
        <w:t xml:space="preserve"> has sufficient staff with an appropriate level of competence to fulfil that purpose;</w:t>
      </w:r>
    </w:p>
    <w:p w14:paraId="197E87F5" w14:textId="77777777" w:rsidR="00657236" w:rsidRPr="00180B8D" w:rsidRDefault="00D655E7">
      <w:pPr>
        <w:pStyle w:val="P68B1DB1-Normal2"/>
        <w:spacing w:after="0" w:line="240" w:lineRule="auto"/>
        <w:ind w:firstLine="567"/>
        <w:jc w:val="both"/>
        <w:rPr>
          <w:lang w:val="en-GB"/>
        </w:rPr>
      </w:pPr>
      <w:r w:rsidRPr="00180B8D">
        <w:rPr>
          <w:lang w:val="en-GB"/>
        </w:rPr>
        <w:t xml:space="preserve">26.4. the executive body actively participates in the risk control process and considers CVA risk control to be an essential aspect of economic activity, to which adequate resources must be </w:t>
      </w:r>
      <w:proofErr w:type="gramStart"/>
      <w:r w:rsidRPr="00180B8D">
        <w:rPr>
          <w:lang w:val="en-GB"/>
        </w:rPr>
        <w:t>allocated;</w:t>
      </w:r>
      <w:proofErr w:type="gramEnd"/>
    </w:p>
    <w:p w14:paraId="26329434" w14:textId="77777777" w:rsidR="00657236" w:rsidRPr="00180B8D" w:rsidRDefault="00D655E7">
      <w:pPr>
        <w:pStyle w:val="P68B1DB1-Normal2"/>
        <w:spacing w:after="0" w:line="240" w:lineRule="auto"/>
        <w:ind w:firstLine="567"/>
        <w:jc w:val="both"/>
        <w:rPr>
          <w:lang w:val="en-GB"/>
        </w:rPr>
      </w:pPr>
      <w:r w:rsidRPr="00180B8D">
        <w:rPr>
          <w:lang w:val="en-GB"/>
        </w:rPr>
        <w:t>26.5. the bank documents the process of initial and ongoing validation of the exposure model referred to in paragraph 21, to a level of detail that would allow a third party to understand how their models, limitations and key assumptions function and to recreate the analysis; that documentation sets out the minimum frequency with which ongoing validation is carried out, as well as other circumstances, such as a sudden change in market behaviour, in which additional validation is carried out; the documentati</w:t>
      </w:r>
      <w:r w:rsidRPr="00180B8D">
        <w:rPr>
          <w:lang w:val="en-GB"/>
        </w:rPr>
        <w:t>on describes how validation is performed in terms of data flows and portfolios, what analyses are used and how representative counterparty portfolios are constituted;</w:t>
      </w:r>
    </w:p>
    <w:p w14:paraId="7D6C4C54" w14:textId="48A46966" w:rsidR="00657236" w:rsidRPr="00180B8D" w:rsidRDefault="00D655E7">
      <w:pPr>
        <w:pStyle w:val="P68B1DB1-Normal2"/>
        <w:spacing w:after="0" w:line="240" w:lineRule="auto"/>
        <w:ind w:firstLine="567"/>
        <w:jc w:val="both"/>
        <w:rPr>
          <w:lang w:val="en-GB"/>
        </w:rPr>
      </w:pPr>
      <w:r w:rsidRPr="00180B8D">
        <w:rPr>
          <w:lang w:val="en-GB"/>
        </w:rPr>
        <w:t xml:space="preserve">26.6. the valuation models used in the exposure model referred to in </w:t>
      </w:r>
      <w:r w:rsidR="00527EED">
        <w:rPr>
          <w:lang w:val="en-GB"/>
        </w:rPr>
        <w:t>paragraph</w:t>
      </w:r>
      <w:r w:rsidRPr="00180B8D">
        <w:rPr>
          <w:lang w:val="en-GB"/>
        </w:rPr>
        <w:t xml:space="preserve"> 21 for a given scenario of simulated market risk factors shall be tested against independent benchmarks </w:t>
      </w:r>
      <w:r w:rsidRPr="00180B8D">
        <w:rPr>
          <w:lang w:val="en-GB"/>
        </w:rPr>
        <w:lastRenderedPageBreak/>
        <w:t xml:space="preserve">appropriate for a wide range of market conditions as part of the initial and ongoing model validation process; the options pricing models take into account the non-linearity of the value of the option in terms of market risk </w:t>
      </w:r>
      <w:proofErr w:type="gramStart"/>
      <w:r w:rsidRPr="00180B8D">
        <w:rPr>
          <w:lang w:val="en-GB"/>
        </w:rPr>
        <w:t>factors;</w:t>
      </w:r>
      <w:proofErr w:type="gramEnd"/>
    </w:p>
    <w:p w14:paraId="3EB9309F" w14:textId="199B81E2" w:rsidR="00657236" w:rsidRPr="00180B8D" w:rsidRDefault="00D655E7">
      <w:pPr>
        <w:pStyle w:val="P68B1DB1-Normal2"/>
        <w:spacing w:after="0" w:line="240" w:lineRule="auto"/>
        <w:ind w:firstLine="567"/>
        <w:jc w:val="both"/>
        <w:rPr>
          <w:lang w:val="en-GB"/>
        </w:rPr>
      </w:pPr>
      <w:r w:rsidRPr="00180B8D">
        <w:rPr>
          <w:lang w:val="en-GB"/>
        </w:rPr>
        <w:t xml:space="preserve">26.7. as part of the bank's internal audit process, an independent review of its internal CVA risk management system referred to in </w:t>
      </w:r>
      <w:r w:rsidR="00527EED">
        <w:rPr>
          <w:lang w:val="en-GB"/>
        </w:rPr>
        <w:t>sub</w:t>
      </w:r>
      <w:r w:rsidRPr="00180B8D">
        <w:rPr>
          <w:lang w:val="en-GB"/>
        </w:rPr>
        <w:t xml:space="preserve">paragraph 26.1 shall be carried out on a regular basis; that review includes the activities of both the unit referred to in subparagraph 17.1 and the independent validation </w:t>
      </w:r>
      <w:r w:rsidR="00527EED">
        <w:rPr>
          <w:lang w:val="en-GB"/>
        </w:rPr>
        <w:t>unit</w:t>
      </w:r>
      <w:r w:rsidRPr="00180B8D">
        <w:rPr>
          <w:lang w:val="en-GB"/>
        </w:rPr>
        <w:t xml:space="preserve"> referred to in subparagraph </w:t>
      </w:r>
      <w:proofErr w:type="gramStart"/>
      <w:r w:rsidRPr="00180B8D">
        <w:rPr>
          <w:lang w:val="en-GB"/>
        </w:rPr>
        <w:t>26.3;</w:t>
      </w:r>
      <w:proofErr w:type="gramEnd"/>
    </w:p>
    <w:p w14:paraId="618B1236" w14:textId="77777777" w:rsidR="00657236" w:rsidRPr="00180B8D" w:rsidRDefault="00D655E7">
      <w:pPr>
        <w:pStyle w:val="P68B1DB1-Normal2"/>
        <w:spacing w:after="0" w:line="240" w:lineRule="auto"/>
        <w:ind w:firstLine="567"/>
        <w:jc w:val="both"/>
        <w:rPr>
          <w:lang w:val="en-GB"/>
        </w:rPr>
      </w:pPr>
      <w:r w:rsidRPr="00180B8D">
        <w:rPr>
          <w:lang w:val="en-GB"/>
        </w:rPr>
        <w:t>26.8. the regulatory CVA model used by the bank to calculate the simulated discounted future exposure referred to in paragraph 21 reflects the conditions and specifications of transactions and margin contracts in a timely, complete and prudent manner; the conditions and specifications shall be kept in a secure database, which shall be subject to a formal and regular audit; the transmission of data on transaction conditions and specifications and margin contracts for integration into the exposure model is al</w:t>
      </w:r>
      <w:r w:rsidRPr="00180B8D">
        <w:rPr>
          <w:lang w:val="en-GB"/>
        </w:rPr>
        <w:t>so subject to internal audit, and formal reconciliation processes exist between the internal model and source data systems to verify on an ongoing basis that transaction specifications and conditions and margin contracts are correctly or at least prudently reflected in the exposure calculation system;</w:t>
      </w:r>
    </w:p>
    <w:p w14:paraId="2F468247" w14:textId="77777777" w:rsidR="00657236" w:rsidRPr="00180B8D" w:rsidRDefault="00D655E7">
      <w:pPr>
        <w:pStyle w:val="P68B1DB1-Normal2"/>
        <w:spacing w:after="0" w:line="240" w:lineRule="auto"/>
        <w:ind w:firstLine="567"/>
        <w:jc w:val="both"/>
        <w:rPr>
          <w:lang w:val="en-GB"/>
        </w:rPr>
      </w:pPr>
      <w:r w:rsidRPr="00180B8D">
        <w:rPr>
          <w:lang w:val="en-GB"/>
        </w:rPr>
        <w:t>26.9. current and historical market data inputs used in the bank model for the calculation of the simulated discounted future exposure referred to in paragraph 21 shall be obtained independently of the business lines and entered into that model in a timely and complete manner and kept in a secure database subject to formal and regular audit; the bank has a well-developed data integrity verification process in place to manage observations of inadequate data; where the model is based on market data substituti</w:t>
      </w:r>
      <w:r w:rsidRPr="00180B8D">
        <w:rPr>
          <w:lang w:val="en-GB"/>
        </w:rPr>
        <w:t>on data, the bank shall develop internal policies to identify suitable substitutes and demonstrate empirically and on an ongoing basis that substitutes provide a prudent representation of the underlying risk;</w:t>
      </w:r>
    </w:p>
    <w:p w14:paraId="3F009D68" w14:textId="77777777" w:rsidR="00657236" w:rsidRPr="00180B8D" w:rsidRDefault="00D655E7">
      <w:pPr>
        <w:pStyle w:val="P68B1DB1-Normal2"/>
        <w:spacing w:after="0" w:line="240" w:lineRule="auto"/>
        <w:ind w:firstLine="567"/>
        <w:jc w:val="both"/>
        <w:rPr>
          <w:lang w:val="en-GB"/>
        </w:rPr>
      </w:pPr>
      <w:r w:rsidRPr="00180B8D">
        <w:rPr>
          <w:lang w:val="en-GB"/>
        </w:rPr>
        <w:t>26.10. the exposure model referred to in paragraph 21 shall include the transaction-specific and contractual information that is necessary to be able to aggregate exposures at the level of the netting set; the bank verifies whether the transactions are assigned to the appropriate netting set under the model.</w:t>
      </w:r>
    </w:p>
    <w:p w14:paraId="15A380CA" w14:textId="77777777" w:rsidR="00657236" w:rsidRPr="00180B8D" w:rsidRDefault="00D655E7">
      <w:pPr>
        <w:pStyle w:val="P68B1DB1-Normal2"/>
        <w:spacing w:after="0" w:line="240" w:lineRule="auto"/>
        <w:ind w:firstLine="567"/>
        <w:jc w:val="both"/>
        <w:rPr>
          <w:lang w:val="en-GB"/>
        </w:rPr>
      </w:pPr>
      <w:r w:rsidRPr="00180B8D">
        <w:rPr>
          <w:b/>
          <w:lang w:val="en-GB"/>
        </w:rPr>
        <w:t>27.</w:t>
      </w:r>
      <w:r w:rsidRPr="00180B8D">
        <w:rPr>
          <w:lang w:val="en-GB"/>
        </w:rPr>
        <w:t xml:space="preserve"> For the purposes of calculating the own funds requirements for CVA risk, the exposure model referred to in paragraph 21 may have different specifications and assumptions to meet all the requirements set out in paragraphs 21 to 26, except that its market data </w:t>
      </w:r>
      <w:proofErr w:type="gramStart"/>
      <w:r w:rsidRPr="00180B8D">
        <w:rPr>
          <w:lang w:val="en-GB"/>
        </w:rPr>
        <w:t>inputs</w:t>
      </w:r>
      <w:proofErr w:type="gramEnd"/>
      <w:r w:rsidRPr="00180B8D">
        <w:rPr>
          <w:lang w:val="en-GB"/>
        </w:rPr>
        <w:t xml:space="preserve"> and the recognition of offsetting are the same as those used for accounting purposes.</w:t>
      </w:r>
    </w:p>
    <w:p w14:paraId="3C908F56" w14:textId="77777777" w:rsidR="00657236" w:rsidRPr="00180B8D" w:rsidRDefault="00D655E7">
      <w:pPr>
        <w:pStyle w:val="P68B1DB1-Normal2"/>
        <w:spacing w:after="0" w:line="240" w:lineRule="auto"/>
        <w:ind w:firstLine="567"/>
        <w:jc w:val="both"/>
        <w:rPr>
          <w:lang w:val="en-GB"/>
        </w:rPr>
      </w:pPr>
      <w:r w:rsidRPr="00180B8D">
        <w:rPr>
          <w:lang w:val="en-GB"/>
        </w:rPr>
        <w:t> </w:t>
      </w:r>
    </w:p>
    <w:p w14:paraId="10D7BACD" w14:textId="77777777" w:rsidR="00657236" w:rsidRPr="00180B8D" w:rsidRDefault="00D655E7">
      <w:pPr>
        <w:pStyle w:val="P68B1DB1-Normal3"/>
        <w:spacing w:after="0" w:line="240" w:lineRule="auto"/>
        <w:jc w:val="center"/>
        <w:rPr>
          <w:lang w:val="en-GB"/>
        </w:rPr>
      </w:pPr>
      <w:r w:rsidRPr="00180B8D">
        <w:rPr>
          <w:lang w:val="en-GB"/>
        </w:rPr>
        <w:t>Section 3</w:t>
      </w:r>
    </w:p>
    <w:p w14:paraId="3F25F4CF" w14:textId="77777777" w:rsidR="00657236" w:rsidRPr="00180B8D" w:rsidRDefault="00D655E7">
      <w:pPr>
        <w:pStyle w:val="P68B1DB1-Normal3"/>
        <w:spacing w:after="0" w:line="240" w:lineRule="auto"/>
        <w:jc w:val="center"/>
        <w:rPr>
          <w:lang w:val="en-GB"/>
        </w:rPr>
      </w:pPr>
      <w:r w:rsidRPr="00180B8D">
        <w:rPr>
          <w:lang w:val="en-GB"/>
        </w:rPr>
        <w:t xml:space="preserve">Own funds requirements for delta and </w:t>
      </w:r>
      <w:proofErr w:type="spellStart"/>
      <w:r w:rsidRPr="00180B8D">
        <w:rPr>
          <w:lang w:val="en-GB"/>
        </w:rPr>
        <w:t>vega</w:t>
      </w:r>
      <w:proofErr w:type="spellEnd"/>
      <w:r w:rsidRPr="00180B8D">
        <w:rPr>
          <w:lang w:val="en-GB"/>
        </w:rPr>
        <w:t xml:space="preserve"> risks</w:t>
      </w:r>
    </w:p>
    <w:p w14:paraId="2E2D74BA" w14:textId="77777777" w:rsidR="00657236" w:rsidRPr="00180B8D" w:rsidRDefault="00D655E7">
      <w:pPr>
        <w:pStyle w:val="P68B1DB1-Normal2"/>
        <w:spacing w:after="0" w:line="240" w:lineRule="auto"/>
        <w:ind w:firstLine="567"/>
        <w:jc w:val="both"/>
        <w:rPr>
          <w:lang w:val="en-GB"/>
        </w:rPr>
      </w:pPr>
      <w:r w:rsidRPr="00180B8D">
        <w:rPr>
          <w:b/>
          <w:lang w:val="en-GB"/>
        </w:rPr>
        <w:t>28.</w:t>
      </w:r>
      <w:r w:rsidRPr="00180B8D">
        <w:rPr>
          <w:lang w:val="en-GB"/>
        </w:rPr>
        <w:t xml:space="preserve"> Banks shall apply the delta and </w:t>
      </w:r>
      <w:proofErr w:type="spellStart"/>
      <w:r w:rsidRPr="00180B8D">
        <w:rPr>
          <w:lang w:val="en-GB"/>
        </w:rPr>
        <w:t>vega</w:t>
      </w:r>
      <w:proofErr w:type="spellEnd"/>
      <w:r w:rsidRPr="00180B8D">
        <w:rPr>
          <w:lang w:val="en-GB"/>
        </w:rPr>
        <w:t xml:space="preserve"> risk factors described in paragraphs 41–62 and the process set out in paragraphs 29–40 to calculate the own funds requirements for delta and </w:t>
      </w:r>
      <w:proofErr w:type="spellStart"/>
      <w:r w:rsidRPr="00180B8D">
        <w:rPr>
          <w:lang w:val="en-GB"/>
        </w:rPr>
        <w:t>vega</w:t>
      </w:r>
      <w:proofErr w:type="spellEnd"/>
      <w:r w:rsidRPr="00180B8D">
        <w:rPr>
          <w:lang w:val="en-GB"/>
        </w:rPr>
        <w:t xml:space="preserve"> risks.</w:t>
      </w:r>
    </w:p>
    <w:p w14:paraId="20E3E102" w14:textId="77777777" w:rsidR="00657236" w:rsidRPr="00180B8D" w:rsidRDefault="00D655E7">
      <w:pPr>
        <w:pStyle w:val="P68B1DB1-Normal2"/>
        <w:spacing w:after="0" w:line="240" w:lineRule="auto"/>
        <w:ind w:firstLine="567"/>
        <w:jc w:val="both"/>
        <w:rPr>
          <w:lang w:val="en-GB"/>
        </w:rPr>
      </w:pPr>
      <w:r w:rsidRPr="00180B8D">
        <w:rPr>
          <w:b/>
          <w:lang w:val="en-GB"/>
        </w:rPr>
        <w:t>29.</w:t>
      </w:r>
      <w:r w:rsidRPr="00180B8D">
        <w:rPr>
          <w:lang w:val="en-GB"/>
        </w:rPr>
        <w:t xml:space="preserve"> For each risk class referred to in paragraph 3, the sensitivity of aggregate CVAs and the sensitivity of all positions in eligible hedges that fall under the own funds requirements for delta or </w:t>
      </w:r>
      <w:proofErr w:type="spellStart"/>
      <w:r w:rsidRPr="00180B8D">
        <w:rPr>
          <w:lang w:val="en-GB"/>
        </w:rPr>
        <w:t>vega</w:t>
      </w:r>
      <w:proofErr w:type="spellEnd"/>
      <w:r w:rsidRPr="00180B8D">
        <w:rPr>
          <w:lang w:val="en-GB"/>
        </w:rPr>
        <w:t xml:space="preserve"> risk to each of the applicable delta or </w:t>
      </w:r>
      <w:proofErr w:type="spellStart"/>
      <w:r w:rsidRPr="00180B8D">
        <w:rPr>
          <w:lang w:val="en-GB"/>
        </w:rPr>
        <w:t>vega</w:t>
      </w:r>
      <w:proofErr w:type="spellEnd"/>
      <w:r w:rsidRPr="00180B8D">
        <w:rPr>
          <w:lang w:val="en-GB"/>
        </w:rPr>
        <w:t xml:space="preserve"> risk factors included in that risk class shall be calculated using the appropriate formulae set out in paragraphs 63 to 69. Where the value of an instrument depends on several risk factors, the sensitivity shall be determined separately for each risk factor.</w:t>
      </w:r>
    </w:p>
    <w:p w14:paraId="613BD09B" w14:textId="77777777" w:rsidR="00657236" w:rsidRPr="00180B8D" w:rsidRDefault="00D655E7">
      <w:pPr>
        <w:pStyle w:val="P68B1DB1-Normal2"/>
        <w:spacing w:after="0" w:line="240" w:lineRule="auto"/>
        <w:ind w:firstLine="567"/>
        <w:jc w:val="both"/>
        <w:rPr>
          <w:lang w:val="en-GB"/>
        </w:rPr>
      </w:pPr>
      <w:r w:rsidRPr="00180B8D">
        <w:rPr>
          <w:b/>
          <w:lang w:val="en-GB"/>
        </w:rPr>
        <w:t>30.</w:t>
      </w:r>
      <w:r w:rsidRPr="00180B8D">
        <w:rPr>
          <w:lang w:val="en-GB"/>
        </w:rPr>
        <w:t xml:space="preserve"> For the calculation of </w:t>
      </w:r>
      <w:proofErr w:type="spellStart"/>
      <w:r w:rsidRPr="00180B8D">
        <w:rPr>
          <w:lang w:val="en-GB"/>
        </w:rPr>
        <w:t>vega</w:t>
      </w:r>
      <w:proofErr w:type="spellEnd"/>
      <w:r w:rsidRPr="00180B8D">
        <w:rPr>
          <w:lang w:val="en-GB"/>
        </w:rPr>
        <w:t xml:space="preserve"> risk sensitivities of aggregate CVAs, both the sensitivities to volatilities used in the exposure model to simulate risk factors and the sensitivities to volatilities used to revalue transactions with options in the portfolio of transactions with the counterparty shall be included.</w:t>
      </w:r>
    </w:p>
    <w:p w14:paraId="4EBEC411" w14:textId="77777777" w:rsidR="00657236" w:rsidRPr="00180B8D" w:rsidRDefault="00D655E7">
      <w:pPr>
        <w:pStyle w:val="P68B1DB1-Normal2"/>
        <w:spacing w:after="0" w:line="240" w:lineRule="auto"/>
        <w:ind w:firstLine="567"/>
        <w:jc w:val="both"/>
        <w:rPr>
          <w:lang w:val="en-GB"/>
        </w:rPr>
      </w:pPr>
      <w:r w:rsidRPr="00180B8D">
        <w:rPr>
          <w:b/>
          <w:lang w:val="en-GB"/>
        </w:rPr>
        <w:t>31.</w:t>
      </w:r>
      <w:r w:rsidRPr="00180B8D">
        <w:rPr>
          <w:lang w:val="en-GB"/>
        </w:rPr>
        <w:t xml:space="preserve"> By way of derogation from paragraph 28, subject to prior approval by the National Bank of Moldova, the bank may use alternative definitions of delta and </w:t>
      </w:r>
      <w:proofErr w:type="spellStart"/>
      <w:r w:rsidRPr="00180B8D">
        <w:rPr>
          <w:lang w:val="en-GB"/>
        </w:rPr>
        <w:t>vega</w:t>
      </w:r>
      <w:proofErr w:type="spellEnd"/>
      <w:r w:rsidRPr="00180B8D">
        <w:rPr>
          <w:lang w:val="en-GB"/>
        </w:rPr>
        <w:t xml:space="preserve"> risk sensitivities when calculating the own funds requirements of a position in the trading book, provided that the bank meets </w:t>
      </w:r>
      <w:proofErr w:type="gramStart"/>
      <w:r w:rsidRPr="00180B8D">
        <w:rPr>
          <w:lang w:val="en-GB"/>
        </w:rPr>
        <w:t>all of</w:t>
      </w:r>
      <w:proofErr w:type="gramEnd"/>
      <w:r w:rsidRPr="00180B8D">
        <w:rPr>
          <w:lang w:val="en-GB"/>
        </w:rPr>
        <w:t xml:space="preserve"> the following conditions:</w:t>
      </w:r>
    </w:p>
    <w:p w14:paraId="0774A063" w14:textId="6A4AA68E" w:rsidR="00657236" w:rsidRPr="00180B8D" w:rsidRDefault="00D655E7">
      <w:pPr>
        <w:pStyle w:val="P68B1DB1-Normal2"/>
        <w:spacing w:after="0" w:line="240" w:lineRule="auto"/>
        <w:ind w:firstLine="567"/>
        <w:jc w:val="both"/>
        <w:rPr>
          <w:lang w:val="en-GB"/>
        </w:rPr>
      </w:pPr>
      <w:r w:rsidRPr="00180B8D">
        <w:rPr>
          <w:lang w:val="en-GB"/>
        </w:rPr>
        <w:lastRenderedPageBreak/>
        <w:t xml:space="preserve">31.1. those alternative definitions are used for internal risk management purposes or for profit and loss reporting to the management body by an independent risk control </w:t>
      </w:r>
      <w:r w:rsidR="003120B4">
        <w:rPr>
          <w:lang w:val="en-GB"/>
        </w:rPr>
        <w:t>unit</w:t>
      </w:r>
      <w:r w:rsidRPr="00180B8D">
        <w:rPr>
          <w:lang w:val="en-GB"/>
        </w:rPr>
        <w:t xml:space="preserve"> within the </w:t>
      </w:r>
      <w:proofErr w:type="gramStart"/>
      <w:r w:rsidRPr="00180B8D">
        <w:rPr>
          <w:lang w:val="en-GB"/>
        </w:rPr>
        <w:t>bank;</w:t>
      </w:r>
      <w:proofErr w:type="gramEnd"/>
    </w:p>
    <w:p w14:paraId="2039B222" w14:textId="77777777" w:rsidR="00657236" w:rsidRPr="00180B8D" w:rsidRDefault="00D655E7">
      <w:pPr>
        <w:pStyle w:val="P68B1DB1-Normal2"/>
        <w:spacing w:after="0" w:line="240" w:lineRule="auto"/>
        <w:ind w:firstLine="567"/>
        <w:jc w:val="both"/>
        <w:rPr>
          <w:lang w:val="en-GB"/>
        </w:rPr>
      </w:pPr>
      <w:r w:rsidRPr="00180B8D">
        <w:rPr>
          <w:lang w:val="en-GB"/>
        </w:rPr>
        <w:t xml:space="preserve">31.2. the bank demonstrates that these alternative definitions are more appropriate to reflect the sensitivities of the position than the formulas set out in paragraphs 63 to 69 and that the resulting delta and </w:t>
      </w:r>
      <w:proofErr w:type="spellStart"/>
      <w:r w:rsidRPr="00180B8D">
        <w:rPr>
          <w:lang w:val="en-GB"/>
        </w:rPr>
        <w:t>vega</w:t>
      </w:r>
      <w:proofErr w:type="spellEnd"/>
      <w:r w:rsidRPr="00180B8D">
        <w:rPr>
          <w:lang w:val="en-GB"/>
        </w:rPr>
        <w:t xml:space="preserve"> risk sensitivities do not differ materially from those obtained by applying the formulas set out in paragraphs 63 to 69.</w:t>
      </w:r>
    </w:p>
    <w:p w14:paraId="607396B8" w14:textId="77777777" w:rsidR="00657236" w:rsidRPr="00180B8D" w:rsidRDefault="00D655E7">
      <w:pPr>
        <w:pStyle w:val="P68B1DB1-Normal2"/>
        <w:spacing w:after="0" w:line="240" w:lineRule="auto"/>
        <w:ind w:firstLine="567"/>
        <w:jc w:val="both"/>
        <w:rPr>
          <w:lang w:val="en-GB"/>
        </w:rPr>
      </w:pPr>
      <w:r w:rsidRPr="00180B8D">
        <w:rPr>
          <w:b/>
          <w:lang w:val="en-GB"/>
        </w:rPr>
        <w:t>32.</w:t>
      </w:r>
      <w:r w:rsidRPr="00180B8D">
        <w:rPr>
          <w:lang w:val="en-GB"/>
        </w:rPr>
        <w:t xml:space="preserve"> Where an eligible hedge is an index instrument, banks shall calculate the sensitivities of that eligible hedge to all relevant risk factors by applying the change in one of the relevant risk factors to each of the components of the index.</w:t>
      </w:r>
    </w:p>
    <w:p w14:paraId="4D69FEEA" w14:textId="77777777" w:rsidR="00657236" w:rsidRPr="00180B8D" w:rsidRDefault="00D655E7">
      <w:pPr>
        <w:pStyle w:val="P68B1DB1-Normal2"/>
        <w:spacing w:after="0" w:line="240" w:lineRule="auto"/>
        <w:ind w:firstLine="567"/>
        <w:jc w:val="both"/>
        <w:rPr>
          <w:lang w:val="en-GB"/>
        </w:rPr>
      </w:pPr>
      <w:r w:rsidRPr="00180B8D">
        <w:rPr>
          <w:b/>
          <w:lang w:val="en-GB"/>
        </w:rPr>
        <w:t>33.</w:t>
      </w:r>
      <w:r w:rsidRPr="00180B8D">
        <w:rPr>
          <w:lang w:val="en-GB"/>
        </w:rPr>
        <w:t xml:space="preserve"> The bank may introduce additional risk factors corresponding to qualified index instruments for the following risk classes:</w:t>
      </w:r>
    </w:p>
    <w:p w14:paraId="76652A53" w14:textId="77777777" w:rsidR="00657236" w:rsidRPr="00180B8D" w:rsidRDefault="00D655E7">
      <w:pPr>
        <w:pStyle w:val="P68B1DB1-Normal2"/>
        <w:spacing w:after="0" w:line="240" w:lineRule="auto"/>
        <w:ind w:firstLine="567"/>
        <w:jc w:val="both"/>
        <w:rPr>
          <w:lang w:val="en-GB"/>
        </w:rPr>
      </w:pPr>
      <w:r w:rsidRPr="00180B8D">
        <w:rPr>
          <w:lang w:val="en-GB"/>
        </w:rPr>
        <w:t xml:space="preserve">33.1. counterparty credit spread </w:t>
      </w:r>
      <w:proofErr w:type="gramStart"/>
      <w:r w:rsidRPr="00180B8D">
        <w:rPr>
          <w:lang w:val="en-GB"/>
        </w:rPr>
        <w:t>risk;</w:t>
      </w:r>
      <w:proofErr w:type="gramEnd"/>
    </w:p>
    <w:p w14:paraId="2215B1C2" w14:textId="77777777" w:rsidR="00657236" w:rsidRPr="00180B8D" w:rsidRDefault="00D655E7">
      <w:pPr>
        <w:pStyle w:val="P68B1DB1-Normal2"/>
        <w:spacing w:after="0" w:line="240" w:lineRule="auto"/>
        <w:ind w:firstLine="567"/>
        <w:jc w:val="both"/>
        <w:rPr>
          <w:lang w:val="en-GB"/>
        </w:rPr>
      </w:pPr>
      <w:r w:rsidRPr="00180B8D">
        <w:rPr>
          <w:lang w:val="en-GB"/>
        </w:rPr>
        <w:t>33.2. reference spread risk; and</w:t>
      </w:r>
    </w:p>
    <w:p w14:paraId="35511FD7" w14:textId="77777777" w:rsidR="00657236" w:rsidRPr="00180B8D" w:rsidRDefault="00D655E7">
      <w:pPr>
        <w:pStyle w:val="P68B1DB1-Normal2"/>
        <w:spacing w:after="0" w:line="240" w:lineRule="auto"/>
        <w:ind w:firstLine="567"/>
        <w:jc w:val="both"/>
        <w:rPr>
          <w:lang w:val="en-GB"/>
        </w:rPr>
      </w:pPr>
      <w:r w:rsidRPr="00180B8D">
        <w:rPr>
          <w:lang w:val="en-GB"/>
        </w:rPr>
        <w:t>33.3. equity risk.</w:t>
      </w:r>
    </w:p>
    <w:p w14:paraId="043F5613" w14:textId="36026CB5" w:rsidR="00657236" w:rsidRPr="00180B8D" w:rsidRDefault="00D655E7">
      <w:pPr>
        <w:pStyle w:val="P68B1DB1-Normal2"/>
        <w:spacing w:after="0" w:line="240" w:lineRule="auto"/>
        <w:ind w:firstLine="567"/>
        <w:jc w:val="both"/>
        <w:rPr>
          <w:lang w:val="en-GB"/>
        </w:rPr>
      </w:pPr>
      <w:r w:rsidRPr="00180B8D">
        <w:rPr>
          <w:b/>
          <w:lang w:val="en-GB"/>
        </w:rPr>
        <w:t>34.</w:t>
      </w:r>
      <w:r w:rsidRPr="00180B8D">
        <w:rPr>
          <w:lang w:val="en-GB"/>
        </w:rPr>
        <w:t xml:space="preserve"> </w:t>
      </w:r>
      <w:proofErr w:type="gramStart"/>
      <w:r w:rsidRPr="00180B8D">
        <w:rPr>
          <w:lang w:val="en-GB"/>
        </w:rPr>
        <w:t>With regard to</w:t>
      </w:r>
      <w:proofErr w:type="gramEnd"/>
      <w:r w:rsidRPr="00180B8D">
        <w:rPr>
          <w:lang w:val="en-GB"/>
        </w:rPr>
        <w:t xml:space="preserve"> delta risks, an index instrument is considered qualified if it meets the conditions set out in the market risk treatment regulations under the </w:t>
      </w:r>
      <w:r w:rsidR="003120B4">
        <w:rPr>
          <w:lang w:val="en-GB"/>
        </w:rPr>
        <w:t>s</w:t>
      </w:r>
      <w:r w:rsidRPr="00180B8D">
        <w:rPr>
          <w:lang w:val="en-GB"/>
        </w:rPr>
        <w:t xml:space="preserve">tandardised </w:t>
      </w:r>
      <w:r w:rsidR="003120B4">
        <w:rPr>
          <w:lang w:val="en-GB"/>
        </w:rPr>
        <w:t>a</w:t>
      </w:r>
      <w:r w:rsidRPr="00180B8D">
        <w:rPr>
          <w:lang w:val="en-GB"/>
        </w:rPr>
        <w:t xml:space="preserve">pproach. As regards </w:t>
      </w:r>
      <w:proofErr w:type="spellStart"/>
      <w:r w:rsidRPr="00180B8D">
        <w:rPr>
          <w:lang w:val="en-GB"/>
        </w:rPr>
        <w:t>vega</w:t>
      </w:r>
      <w:proofErr w:type="spellEnd"/>
      <w:r w:rsidRPr="00180B8D">
        <w:rPr>
          <w:lang w:val="en-GB"/>
        </w:rPr>
        <w:t xml:space="preserve"> risks, all index instruments are considered qualified.</w:t>
      </w:r>
    </w:p>
    <w:p w14:paraId="0CD5B7A6" w14:textId="77777777" w:rsidR="00657236" w:rsidRPr="00180B8D" w:rsidRDefault="00D655E7">
      <w:pPr>
        <w:pStyle w:val="P68B1DB1-Normal2"/>
        <w:spacing w:after="0" w:line="240" w:lineRule="auto"/>
        <w:ind w:firstLine="567"/>
        <w:jc w:val="both"/>
        <w:rPr>
          <w:lang w:val="en-GB"/>
        </w:rPr>
      </w:pPr>
      <w:r w:rsidRPr="00180B8D">
        <w:rPr>
          <w:b/>
          <w:lang w:val="en-GB"/>
        </w:rPr>
        <w:t>35.</w:t>
      </w:r>
      <w:r w:rsidRPr="00180B8D">
        <w:rPr>
          <w:lang w:val="en-GB"/>
        </w:rPr>
        <w:t xml:space="preserve"> The bank calculates the sensitivities of CVA and eligible hedges to qualified index risk factors in addition to the sensitivities to non-index risk factors.</w:t>
      </w:r>
    </w:p>
    <w:p w14:paraId="7DF31D3D" w14:textId="77777777" w:rsidR="00657236" w:rsidRPr="00180B8D" w:rsidRDefault="00D655E7">
      <w:pPr>
        <w:pStyle w:val="P68B1DB1-Normal2"/>
        <w:spacing w:after="0" w:line="240" w:lineRule="auto"/>
        <w:ind w:firstLine="567"/>
        <w:jc w:val="both"/>
        <w:rPr>
          <w:lang w:val="en-GB"/>
        </w:rPr>
      </w:pPr>
      <w:r w:rsidRPr="00180B8D">
        <w:rPr>
          <w:b/>
          <w:lang w:val="en-GB"/>
        </w:rPr>
        <w:t>36.</w:t>
      </w:r>
      <w:r w:rsidRPr="00180B8D">
        <w:rPr>
          <w:lang w:val="en-GB"/>
        </w:rPr>
        <w:t xml:space="preserve"> The bank shall calculate the delta and </w:t>
      </w:r>
      <w:proofErr w:type="spellStart"/>
      <w:r w:rsidRPr="00180B8D">
        <w:rPr>
          <w:lang w:val="en-GB"/>
        </w:rPr>
        <w:t>vega</w:t>
      </w:r>
      <w:proofErr w:type="spellEnd"/>
      <w:r w:rsidRPr="00180B8D">
        <w:rPr>
          <w:lang w:val="en-GB"/>
        </w:rPr>
        <w:t xml:space="preserve"> risk sensitivities to a risk factor of an index qualified as unique sensitivity to the underlying qualified index. If 75 % of the components of a qualified index are matched with the same sector as set out in paragraphs 85 to 89, 93 to 98 and 103 to 107, the bank shall match the qualified index with that sector. In other cases, the bank shall match the sensitivity with the relevant qualifying index bucket.</w:t>
      </w:r>
    </w:p>
    <w:p w14:paraId="72B5A75E" w14:textId="77777777" w:rsidR="00657236" w:rsidRPr="00180B8D" w:rsidRDefault="00D655E7">
      <w:pPr>
        <w:pStyle w:val="P68B1DB1-Normal2"/>
        <w:spacing w:after="0" w:line="240" w:lineRule="auto"/>
        <w:ind w:firstLine="567"/>
        <w:jc w:val="both"/>
        <w:rPr>
          <w:lang w:val="en-GB"/>
        </w:rPr>
      </w:pPr>
      <w:r w:rsidRPr="00180B8D">
        <w:rPr>
          <w:b/>
          <w:lang w:val="en-GB"/>
        </w:rPr>
        <w:t>37.</w:t>
      </w:r>
      <w:r w:rsidRPr="00180B8D">
        <w:rPr>
          <w:lang w:val="en-GB"/>
        </w:rPr>
        <w:t xml:space="preserve"> The weighted sensitivities of the aggregate CVA and the market value of all eligible hedges for each risk factor shall be calculated by multiplying those net sensitivities by the corresponding risk weight in accordance with the following formulae:</w:t>
      </w:r>
    </w:p>
    <w:p w14:paraId="3DE2A4E1" w14:textId="77777777" w:rsidR="00657236" w:rsidRPr="00180B8D" w:rsidRDefault="00D655E7">
      <w:pPr>
        <w:pStyle w:val="P68B1DB1-Normal2"/>
        <w:spacing w:after="0" w:line="240" w:lineRule="auto"/>
        <w:ind w:firstLine="567"/>
        <w:jc w:val="both"/>
        <w:rPr>
          <w:lang w:val="en-GB"/>
        </w:rPr>
      </w:pPr>
      <w:r w:rsidRPr="00180B8D">
        <w:rPr>
          <w:lang w:val="en-GB"/>
        </w:rPr>
        <w:t> </w:t>
      </w:r>
    </w:p>
    <w:p w14:paraId="3ADC1C96" w14:textId="3DF96368" w:rsidR="00657236" w:rsidRPr="00180B8D" w:rsidRDefault="00D655E7">
      <w:pPr>
        <w:pStyle w:val="P68B1DB1-Normal2"/>
        <w:spacing w:after="0" w:line="240" w:lineRule="auto"/>
        <w:jc w:val="center"/>
        <w:rPr>
          <w:lang w:val="en-GB"/>
        </w:rPr>
      </w:pPr>
      <w:r w:rsidRPr="00180B8D">
        <w:rPr>
          <w:noProof/>
          <w:lang w:val="en-GB"/>
        </w:rPr>
        <w:drawing>
          <wp:inline distT="0" distB="0" distL="0" distR="0" wp14:anchorId="650C0A17" wp14:editId="1BA90389">
            <wp:extent cx="1716405" cy="2762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6405" cy="276225"/>
                    </a:xfrm>
                    <a:prstGeom prst="rect">
                      <a:avLst/>
                    </a:prstGeom>
                    <a:noFill/>
                    <a:ln>
                      <a:noFill/>
                    </a:ln>
                  </pic:spPr>
                </pic:pic>
              </a:graphicData>
            </a:graphic>
          </wp:inline>
        </w:drawing>
      </w:r>
    </w:p>
    <w:p w14:paraId="29417FF5" w14:textId="77777777" w:rsidR="00657236" w:rsidRPr="00180B8D" w:rsidRDefault="00D655E7">
      <w:pPr>
        <w:pStyle w:val="P68B1DB1-Normal2"/>
        <w:spacing w:after="0" w:line="240" w:lineRule="auto"/>
        <w:jc w:val="center"/>
        <w:rPr>
          <w:lang w:val="en-GB"/>
        </w:rPr>
      </w:pPr>
      <w:r w:rsidRPr="00180B8D">
        <w:rPr>
          <w:lang w:val="en-GB"/>
        </w:rPr>
        <w:t> </w:t>
      </w:r>
    </w:p>
    <w:p w14:paraId="50D6AF32" w14:textId="31D04CF1" w:rsidR="00657236" w:rsidRPr="00180B8D" w:rsidRDefault="00031A51">
      <w:pPr>
        <w:pStyle w:val="P68B1DB1-Normal2"/>
        <w:spacing w:after="0" w:line="240" w:lineRule="auto"/>
        <w:jc w:val="center"/>
        <w:rPr>
          <w:lang w:val="en-GB"/>
        </w:rPr>
      </w:pPr>
      <w:r>
        <w:rPr>
          <w:lang w:val="en-GB"/>
        </w:rPr>
        <w:t xml:space="preserve">  </w:t>
      </w:r>
      <w:r w:rsidRPr="00031A51">
        <w:rPr>
          <w:noProof/>
          <w:lang w:val="en-GB"/>
        </w:rPr>
        <w:drawing>
          <wp:inline distT="0" distB="0" distL="0" distR="0" wp14:anchorId="1805D921" wp14:editId="0082B7C2">
            <wp:extent cx="2449002" cy="349622"/>
            <wp:effectExtent l="0" t="0" r="0" b="0"/>
            <wp:docPr id="1950034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34877" name=""/>
                    <pic:cNvPicPr/>
                  </pic:nvPicPr>
                  <pic:blipFill>
                    <a:blip r:embed="rId8"/>
                    <a:stretch>
                      <a:fillRect/>
                    </a:stretch>
                  </pic:blipFill>
                  <pic:spPr>
                    <a:xfrm>
                      <a:off x="0" y="0"/>
                      <a:ext cx="2491755" cy="355725"/>
                    </a:xfrm>
                    <a:prstGeom prst="rect">
                      <a:avLst/>
                    </a:prstGeom>
                  </pic:spPr>
                </pic:pic>
              </a:graphicData>
            </a:graphic>
          </wp:inline>
        </w:drawing>
      </w:r>
    </w:p>
    <w:p w14:paraId="570BFF28" w14:textId="77777777" w:rsidR="00657236" w:rsidRPr="00180B8D" w:rsidRDefault="00D655E7">
      <w:pPr>
        <w:pStyle w:val="P68B1DB1-Normal2"/>
        <w:spacing w:after="0" w:line="240" w:lineRule="auto"/>
        <w:ind w:firstLine="567"/>
        <w:jc w:val="both"/>
        <w:rPr>
          <w:lang w:val="en-GB"/>
        </w:rPr>
      </w:pPr>
      <w:r w:rsidRPr="00180B8D">
        <w:rPr>
          <w:lang w:val="en-GB"/>
        </w:rPr>
        <w:t>where:</w:t>
      </w:r>
    </w:p>
    <w:tbl>
      <w:tblPr>
        <w:tblW w:w="4500" w:type="pct"/>
        <w:jc w:val="center"/>
        <w:tblCellMar>
          <w:top w:w="15" w:type="dxa"/>
          <w:left w:w="15" w:type="dxa"/>
          <w:bottom w:w="15" w:type="dxa"/>
          <w:right w:w="15" w:type="dxa"/>
        </w:tblCellMar>
        <w:tblLook w:val="04A0" w:firstRow="1" w:lastRow="0" w:firstColumn="1" w:lastColumn="0" w:noHBand="0" w:noVBand="1"/>
      </w:tblPr>
      <w:tblGrid>
        <w:gridCol w:w="1500"/>
        <w:gridCol w:w="6920"/>
      </w:tblGrid>
      <w:tr w:rsidR="00657236" w:rsidRPr="00180B8D" w14:paraId="0E04E12B" w14:textId="77777777">
        <w:trPr>
          <w:jc w:val="center"/>
        </w:trPr>
        <w:tc>
          <w:tcPr>
            <w:tcW w:w="450" w:type="dxa"/>
            <w:tcBorders>
              <w:top w:val="nil"/>
              <w:left w:val="nil"/>
              <w:bottom w:val="nil"/>
              <w:right w:val="nil"/>
            </w:tcBorders>
            <w:tcMar>
              <w:top w:w="24" w:type="dxa"/>
              <w:left w:w="48" w:type="dxa"/>
              <w:bottom w:w="24" w:type="dxa"/>
              <w:right w:w="48" w:type="dxa"/>
            </w:tcMar>
            <w:hideMark/>
          </w:tcPr>
          <w:p w14:paraId="02489440" w14:textId="77777777" w:rsidR="00657236" w:rsidRPr="00180B8D" w:rsidRDefault="00D655E7">
            <w:pPr>
              <w:pStyle w:val="P68B1DB1-Normal4"/>
              <w:spacing w:after="0" w:line="240" w:lineRule="auto"/>
              <w:rPr>
                <w:lang w:val="en-GB"/>
              </w:rPr>
            </w:pPr>
            <w:r w:rsidRPr="00180B8D">
              <w:rPr>
                <w:lang w:val="en-GB"/>
              </w:rPr>
              <w:t>k</w:t>
            </w:r>
          </w:p>
        </w:tc>
        <w:tc>
          <w:tcPr>
            <w:tcW w:w="0" w:type="auto"/>
            <w:tcBorders>
              <w:top w:val="nil"/>
              <w:left w:val="nil"/>
              <w:bottom w:val="nil"/>
              <w:right w:val="nil"/>
            </w:tcBorders>
            <w:tcMar>
              <w:top w:w="24" w:type="dxa"/>
              <w:left w:w="48" w:type="dxa"/>
              <w:bottom w:w="24" w:type="dxa"/>
              <w:right w:w="48" w:type="dxa"/>
            </w:tcMar>
            <w:hideMark/>
          </w:tcPr>
          <w:p w14:paraId="356C1240" w14:textId="67D64067" w:rsidR="00657236" w:rsidRPr="00180B8D" w:rsidRDefault="00D655E7">
            <w:pPr>
              <w:pStyle w:val="P68B1DB1-Normal2"/>
              <w:spacing w:after="0" w:line="240" w:lineRule="auto"/>
              <w:rPr>
                <w:lang w:val="en-GB"/>
              </w:rPr>
            </w:pPr>
            <w:r w:rsidRPr="00180B8D">
              <w:rPr>
                <w:lang w:val="en-GB"/>
              </w:rPr>
              <w:t xml:space="preserve">= the index </w:t>
            </w:r>
            <w:r w:rsidR="00031A51" w:rsidRPr="00031A51">
              <w:t>that denotes the risk factor k</w:t>
            </w:r>
            <w:r w:rsidRPr="00180B8D">
              <w:rPr>
                <w:lang w:val="en-GB"/>
              </w:rPr>
              <w:t>;</w:t>
            </w:r>
          </w:p>
        </w:tc>
      </w:tr>
      <w:tr w:rsidR="00657236" w:rsidRPr="00180B8D" w14:paraId="51B1B17A" w14:textId="77777777">
        <w:trPr>
          <w:jc w:val="center"/>
        </w:trPr>
        <w:tc>
          <w:tcPr>
            <w:tcW w:w="1500" w:type="dxa"/>
            <w:tcBorders>
              <w:top w:val="nil"/>
              <w:left w:val="nil"/>
              <w:bottom w:val="nil"/>
              <w:right w:val="nil"/>
            </w:tcBorders>
            <w:tcMar>
              <w:top w:w="24" w:type="dxa"/>
              <w:left w:w="48" w:type="dxa"/>
              <w:bottom w:w="24" w:type="dxa"/>
              <w:right w:w="48" w:type="dxa"/>
            </w:tcMar>
            <w:hideMark/>
          </w:tcPr>
          <w:p w14:paraId="6C3EF6C6" w14:textId="37C7EB91" w:rsidR="00657236" w:rsidRPr="00180B8D" w:rsidRDefault="00234FFF">
            <w:pPr>
              <w:pStyle w:val="P68B1DB1-Normal2"/>
              <w:spacing w:after="0" w:line="240" w:lineRule="auto"/>
              <w:rPr>
                <w:lang w:val="en-GB"/>
              </w:rPr>
            </w:pPr>
            <w:r>
              <w:rPr>
                <w:noProof/>
              </w:rPr>
              <w:drawing>
                <wp:inline distT="0" distB="0" distL="0" distR="0" wp14:anchorId="6B34B14E" wp14:editId="076940B1">
                  <wp:extent cx="469265" cy="222885"/>
                  <wp:effectExtent l="0" t="0" r="6985" b="5715"/>
                  <wp:docPr id="1321374930"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265" cy="22288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468E070F" w14:textId="1BB18312" w:rsidR="00657236" w:rsidRPr="00180B8D" w:rsidRDefault="00D655E7">
            <w:pPr>
              <w:pStyle w:val="P68B1DB1-Normal2"/>
              <w:spacing w:after="0" w:line="240" w:lineRule="auto"/>
              <w:rPr>
                <w:lang w:val="en-GB"/>
              </w:rPr>
            </w:pPr>
            <w:r w:rsidRPr="00180B8D">
              <w:rPr>
                <w:lang w:val="en-GB"/>
              </w:rPr>
              <w:t xml:space="preserve">= </w:t>
            </w:r>
            <w:r w:rsidR="00031A51" w:rsidRPr="00031A51">
              <w:t>the weighted sensitivity of the aggregate CVA to risk factor k</w:t>
            </w:r>
            <w:r w:rsidRPr="00180B8D">
              <w:rPr>
                <w:lang w:val="en-GB"/>
              </w:rPr>
              <w:t>;</w:t>
            </w:r>
          </w:p>
        </w:tc>
      </w:tr>
      <w:tr w:rsidR="00657236" w:rsidRPr="00180B8D" w14:paraId="5C7464BB" w14:textId="77777777">
        <w:trPr>
          <w:jc w:val="center"/>
        </w:trPr>
        <w:tc>
          <w:tcPr>
            <w:tcW w:w="1500" w:type="dxa"/>
            <w:tcBorders>
              <w:top w:val="nil"/>
              <w:left w:val="nil"/>
              <w:bottom w:val="nil"/>
              <w:right w:val="nil"/>
            </w:tcBorders>
            <w:tcMar>
              <w:top w:w="24" w:type="dxa"/>
              <w:left w:w="48" w:type="dxa"/>
              <w:bottom w:w="24" w:type="dxa"/>
              <w:right w:w="48" w:type="dxa"/>
            </w:tcMar>
            <w:hideMark/>
          </w:tcPr>
          <w:p w14:paraId="28F265CC" w14:textId="77777777" w:rsidR="00657236" w:rsidRPr="00180B8D" w:rsidRDefault="00D655E7">
            <w:pPr>
              <w:pStyle w:val="P68B1DB1-Normal4"/>
              <w:spacing w:after="0" w:line="240" w:lineRule="auto"/>
              <w:rPr>
                <w:lang w:val="en-GB"/>
              </w:rPr>
            </w:pPr>
            <w:r w:rsidRPr="00180B8D">
              <w:rPr>
                <w:lang w:val="en-GB"/>
              </w:rPr>
              <w:t>RW</w:t>
            </w:r>
            <w:r w:rsidRPr="00180B8D">
              <w:rPr>
                <w:vertAlign w:val="subscript"/>
                <w:lang w:val="en-GB"/>
              </w:rPr>
              <w:t xml:space="preserve"> k</w:t>
            </w:r>
          </w:p>
        </w:tc>
        <w:tc>
          <w:tcPr>
            <w:tcW w:w="0" w:type="auto"/>
            <w:tcBorders>
              <w:top w:val="nil"/>
              <w:left w:val="nil"/>
              <w:bottom w:val="nil"/>
              <w:right w:val="nil"/>
            </w:tcBorders>
            <w:tcMar>
              <w:top w:w="24" w:type="dxa"/>
              <w:left w:w="48" w:type="dxa"/>
              <w:bottom w:w="24" w:type="dxa"/>
              <w:right w:w="48" w:type="dxa"/>
            </w:tcMar>
            <w:hideMark/>
          </w:tcPr>
          <w:p w14:paraId="7637F9BB" w14:textId="77777777" w:rsidR="00657236" w:rsidRPr="00180B8D" w:rsidRDefault="00D655E7">
            <w:pPr>
              <w:pStyle w:val="P68B1DB1-Normal2"/>
              <w:spacing w:after="0" w:line="240" w:lineRule="auto"/>
              <w:rPr>
                <w:lang w:val="en-GB"/>
              </w:rPr>
            </w:pPr>
            <w:r w:rsidRPr="00180B8D">
              <w:rPr>
                <w:lang w:val="en-GB"/>
              </w:rPr>
              <w:t xml:space="preserve">= the risk weight </w:t>
            </w:r>
            <w:r w:rsidRPr="00180B8D">
              <w:rPr>
                <w:lang w:val="en-GB"/>
              </w:rPr>
              <w:t>applicable to risk factor k;</w:t>
            </w:r>
          </w:p>
        </w:tc>
      </w:tr>
      <w:tr w:rsidR="00657236" w:rsidRPr="00180B8D" w14:paraId="6C5E4ECE" w14:textId="77777777">
        <w:trPr>
          <w:jc w:val="center"/>
        </w:trPr>
        <w:tc>
          <w:tcPr>
            <w:tcW w:w="1500" w:type="dxa"/>
            <w:tcBorders>
              <w:top w:val="nil"/>
              <w:left w:val="nil"/>
              <w:bottom w:val="nil"/>
              <w:right w:val="nil"/>
            </w:tcBorders>
            <w:tcMar>
              <w:top w:w="24" w:type="dxa"/>
              <w:left w:w="48" w:type="dxa"/>
              <w:bottom w:w="24" w:type="dxa"/>
              <w:right w:w="48" w:type="dxa"/>
            </w:tcMar>
            <w:hideMark/>
          </w:tcPr>
          <w:p w14:paraId="7849460D" w14:textId="28194BC1" w:rsidR="00657236" w:rsidRPr="00180B8D" w:rsidRDefault="00234FFF">
            <w:pPr>
              <w:pStyle w:val="P68B1DB1-Normal2"/>
              <w:spacing w:after="0" w:line="240" w:lineRule="auto"/>
              <w:rPr>
                <w:lang w:val="en-GB"/>
              </w:rPr>
            </w:pPr>
            <w:r>
              <w:rPr>
                <w:noProof/>
              </w:rPr>
              <w:drawing>
                <wp:inline distT="0" distB="0" distL="0" distR="0" wp14:anchorId="2FD1EB2C" wp14:editId="334534E8">
                  <wp:extent cx="325755" cy="222885"/>
                  <wp:effectExtent l="0" t="0" r="0" b="5715"/>
                  <wp:docPr id="111355832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755" cy="22288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2E11650C" w14:textId="77777777" w:rsidR="00657236" w:rsidRPr="00180B8D" w:rsidRDefault="00D655E7">
            <w:pPr>
              <w:pStyle w:val="P68B1DB1-Normal2"/>
              <w:spacing w:after="0" w:line="240" w:lineRule="auto"/>
              <w:rPr>
                <w:lang w:val="en-GB"/>
              </w:rPr>
            </w:pPr>
            <w:r w:rsidRPr="00180B8D">
              <w:rPr>
                <w:lang w:val="en-GB"/>
              </w:rPr>
              <w:t>= the net sensitivity of the aggregate CVA to risk factor k;</w:t>
            </w:r>
          </w:p>
        </w:tc>
      </w:tr>
      <w:tr w:rsidR="00657236" w:rsidRPr="00180B8D" w14:paraId="79D070B3" w14:textId="77777777">
        <w:trPr>
          <w:jc w:val="center"/>
        </w:trPr>
        <w:tc>
          <w:tcPr>
            <w:tcW w:w="1500" w:type="dxa"/>
            <w:tcBorders>
              <w:top w:val="nil"/>
              <w:left w:val="nil"/>
              <w:bottom w:val="nil"/>
              <w:right w:val="nil"/>
            </w:tcBorders>
            <w:tcMar>
              <w:top w:w="24" w:type="dxa"/>
              <w:left w:w="48" w:type="dxa"/>
              <w:bottom w:w="24" w:type="dxa"/>
              <w:right w:w="48" w:type="dxa"/>
            </w:tcMar>
            <w:hideMark/>
          </w:tcPr>
          <w:p w14:paraId="79021FAE" w14:textId="308691EE" w:rsidR="00657236" w:rsidRPr="00180B8D" w:rsidRDefault="00234FFF">
            <w:pPr>
              <w:pStyle w:val="P68B1DB1-Normal2"/>
              <w:spacing w:after="0" w:line="240" w:lineRule="auto"/>
              <w:rPr>
                <w:lang w:val="en-GB"/>
              </w:rPr>
            </w:pPr>
            <w:r>
              <w:rPr>
                <w:noProof/>
              </w:rPr>
              <w:drawing>
                <wp:inline distT="0" distB="0" distL="0" distR="0" wp14:anchorId="6A1C3491" wp14:editId="429C760A">
                  <wp:extent cx="652145" cy="222885"/>
                  <wp:effectExtent l="0" t="0" r="0" b="5715"/>
                  <wp:docPr id="1376329268"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145" cy="22288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61865750" w14:textId="77777777" w:rsidR="00657236" w:rsidRPr="00180B8D" w:rsidRDefault="00D655E7">
            <w:pPr>
              <w:pStyle w:val="P68B1DB1-Normal2"/>
              <w:spacing w:after="0" w:line="240" w:lineRule="auto"/>
              <w:rPr>
                <w:lang w:val="en-GB"/>
              </w:rPr>
            </w:pPr>
            <w:r w:rsidRPr="00180B8D">
              <w:rPr>
                <w:lang w:val="en-GB"/>
              </w:rPr>
              <w:t>= the weighted sensitivity of the market value of all eligible hedges in the CVA portfolio to risk factor k;</w:t>
            </w:r>
          </w:p>
        </w:tc>
      </w:tr>
      <w:tr w:rsidR="00657236" w:rsidRPr="00180B8D" w14:paraId="10E1A99D" w14:textId="77777777">
        <w:trPr>
          <w:jc w:val="center"/>
        </w:trPr>
        <w:tc>
          <w:tcPr>
            <w:tcW w:w="1500" w:type="dxa"/>
            <w:tcBorders>
              <w:top w:val="nil"/>
              <w:left w:val="nil"/>
              <w:bottom w:val="nil"/>
              <w:right w:val="nil"/>
            </w:tcBorders>
            <w:tcMar>
              <w:top w:w="24" w:type="dxa"/>
              <w:left w:w="48" w:type="dxa"/>
              <w:bottom w:w="24" w:type="dxa"/>
              <w:right w:w="48" w:type="dxa"/>
            </w:tcMar>
            <w:hideMark/>
          </w:tcPr>
          <w:p w14:paraId="4C807EA9" w14:textId="07AAF449" w:rsidR="00657236" w:rsidRPr="00180B8D" w:rsidRDefault="00234FFF">
            <w:pPr>
              <w:pStyle w:val="P68B1DB1-Normal2"/>
              <w:spacing w:after="0" w:line="240" w:lineRule="auto"/>
              <w:rPr>
                <w:lang w:val="en-GB"/>
              </w:rPr>
            </w:pPr>
            <w:r>
              <w:rPr>
                <w:noProof/>
              </w:rPr>
              <w:drawing>
                <wp:inline distT="0" distB="0" distL="0" distR="0" wp14:anchorId="05DCEF39" wp14:editId="41DA5266">
                  <wp:extent cx="508635" cy="222885"/>
                  <wp:effectExtent l="0" t="0" r="5715" b="5715"/>
                  <wp:docPr id="931721757"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8635" cy="22288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7887E824" w14:textId="77777777" w:rsidR="00657236" w:rsidRPr="00180B8D" w:rsidRDefault="00D655E7">
            <w:pPr>
              <w:pStyle w:val="P68B1DB1-Normal2"/>
              <w:spacing w:after="0" w:line="240" w:lineRule="auto"/>
              <w:rPr>
                <w:lang w:val="en-GB"/>
              </w:rPr>
            </w:pPr>
            <w:r w:rsidRPr="00180B8D">
              <w:rPr>
                <w:lang w:val="en-GB"/>
              </w:rPr>
              <w:t>= the net sensitivity of the market value of all eligible hedges in the CVA portfolio to risk factor k.</w:t>
            </w:r>
          </w:p>
        </w:tc>
      </w:tr>
    </w:tbl>
    <w:p w14:paraId="3C349B51" w14:textId="77777777" w:rsidR="00657236" w:rsidRPr="00180B8D" w:rsidRDefault="00D655E7">
      <w:pPr>
        <w:pStyle w:val="P68B1DB1-Normal2"/>
        <w:spacing w:after="0" w:line="240" w:lineRule="auto"/>
        <w:ind w:firstLine="567"/>
        <w:jc w:val="both"/>
        <w:rPr>
          <w:lang w:val="en-GB"/>
        </w:rPr>
      </w:pPr>
      <w:r w:rsidRPr="00180B8D">
        <w:rPr>
          <w:lang w:val="en-GB"/>
        </w:rPr>
        <w:t> </w:t>
      </w:r>
    </w:p>
    <w:p w14:paraId="49373D81" w14:textId="30FA740D" w:rsidR="00657236" w:rsidRPr="00180B8D" w:rsidRDefault="00D655E7">
      <w:pPr>
        <w:pStyle w:val="P68B1DB1-Normal2"/>
        <w:spacing w:after="0" w:line="240" w:lineRule="auto"/>
        <w:ind w:firstLine="567"/>
        <w:jc w:val="both"/>
        <w:rPr>
          <w:lang w:val="en-GB"/>
        </w:rPr>
      </w:pPr>
      <w:r w:rsidRPr="00180B8D">
        <w:rPr>
          <w:b/>
          <w:lang w:val="en-GB"/>
        </w:rPr>
        <w:t>38.</w:t>
      </w:r>
      <w:r w:rsidRPr="00180B8D">
        <w:rPr>
          <w:lang w:val="en-GB"/>
        </w:rPr>
        <w:t xml:space="preserve"> Banks </w:t>
      </w:r>
      <w:r w:rsidR="00F324A7" w:rsidRPr="00F324A7">
        <w:t>shall calculate the net-weighted sensitivity </w:t>
      </w:r>
      <w:proofErr w:type="spellStart"/>
      <w:r w:rsidR="00F324A7" w:rsidRPr="00F324A7">
        <w:rPr>
          <w:i/>
          <w:iCs/>
        </w:rPr>
        <w:t>WS</w:t>
      </w:r>
      <w:r w:rsidR="00F324A7" w:rsidRPr="00F324A7">
        <w:rPr>
          <w:i/>
          <w:iCs/>
          <w:vertAlign w:val="subscript"/>
        </w:rPr>
        <w:t>k</w:t>
      </w:r>
      <w:proofErr w:type="spellEnd"/>
      <w:r w:rsidR="00F324A7" w:rsidRPr="00F324A7">
        <w:rPr>
          <w:i/>
          <w:iCs/>
        </w:rPr>
        <w:t> </w:t>
      </w:r>
      <w:r w:rsidR="00F324A7" w:rsidRPr="00F324A7">
        <w:t>of the CVA portfolio to risk factor k in accordance with the following formula</w:t>
      </w:r>
      <w:r w:rsidRPr="00180B8D">
        <w:rPr>
          <w:lang w:val="en-GB"/>
        </w:rPr>
        <w:t>:</w:t>
      </w:r>
    </w:p>
    <w:p w14:paraId="673F57DA" w14:textId="77777777" w:rsidR="00657236" w:rsidRPr="00180B8D" w:rsidRDefault="00D655E7">
      <w:pPr>
        <w:pStyle w:val="P68B1DB1-Normal2"/>
        <w:spacing w:after="0" w:line="240" w:lineRule="auto"/>
        <w:ind w:firstLine="567"/>
        <w:jc w:val="both"/>
        <w:rPr>
          <w:lang w:val="en-GB"/>
        </w:rPr>
      </w:pPr>
      <w:r w:rsidRPr="00180B8D">
        <w:rPr>
          <w:lang w:val="en-GB"/>
        </w:rPr>
        <w:t> </w:t>
      </w:r>
    </w:p>
    <w:p w14:paraId="041A25CF" w14:textId="63D9DC5A" w:rsidR="00657236" w:rsidRPr="00180B8D" w:rsidRDefault="00F324A7">
      <w:pPr>
        <w:pStyle w:val="P68B1DB1-Normal2"/>
        <w:spacing w:after="0" w:line="240" w:lineRule="auto"/>
        <w:jc w:val="center"/>
        <w:rPr>
          <w:lang w:val="en-GB"/>
        </w:rPr>
      </w:pPr>
      <w:r>
        <w:rPr>
          <w:lang w:val="en-GB"/>
        </w:rPr>
        <w:t xml:space="preserve"> </w:t>
      </w:r>
      <w:r>
        <w:rPr>
          <w:noProof/>
        </w:rPr>
        <w:drawing>
          <wp:inline distT="0" distB="0" distL="0" distR="0" wp14:anchorId="55EB5880" wp14:editId="061DDC63">
            <wp:extent cx="2458975" cy="302067"/>
            <wp:effectExtent l="0" t="0" r="0" b="3175"/>
            <wp:docPr id="612751127"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4016" cy="303915"/>
                    </a:xfrm>
                    <a:prstGeom prst="rect">
                      <a:avLst/>
                    </a:prstGeom>
                    <a:noFill/>
                    <a:ln>
                      <a:noFill/>
                    </a:ln>
                  </pic:spPr>
                </pic:pic>
              </a:graphicData>
            </a:graphic>
          </wp:inline>
        </w:drawing>
      </w:r>
    </w:p>
    <w:p w14:paraId="7A2920FB" w14:textId="77777777" w:rsidR="00657236" w:rsidRPr="00180B8D" w:rsidRDefault="00D655E7">
      <w:pPr>
        <w:pStyle w:val="P68B1DB1-Normal2"/>
        <w:spacing w:after="0" w:line="240" w:lineRule="auto"/>
        <w:ind w:firstLine="567"/>
        <w:jc w:val="both"/>
        <w:rPr>
          <w:lang w:val="en-GB"/>
        </w:rPr>
      </w:pPr>
      <w:r w:rsidRPr="00180B8D">
        <w:rPr>
          <w:lang w:val="en-GB"/>
        </w:rPr>
        <w:t> </w:t>
      </w:r>
    </w:p>
    <w:p w14:paraId="16E33286" w14:textId="53B3D4C0" w:rsidR="00657236" w:rsidRPr="00180B8D" w:rsidRDefault="00D655E7">
      <w:pPr>
        <w:pStyle w:val="P68B1DB1-Normal2"/>
        <w:spacing w:after="0" w:line="240" w:lineRule="auto"/>
        <w:ind w:firstLine="567"/>
        <w:jc w:val="both"/>
        <w:rPr>
          <w:lang w:val="en-GB"/>
        </w:rPr>
      </w:pPr>
      <w:r w:rsidRPr="00180B8D">
        <w:rPr>
          <w:b/>
          <w:lang w:val="en-GB"/>
        </w:rPr>
        <w:lastRenderedPageBreak/>
        <w:t>39.</w:t>
      </w:r>
      <w:r w:rsidRPr="00180B8D">
        <w:rPr>
          <w:lang w:val="en-GB"/>
        </w:rPr>
        <w:t xml:space="preserve"> The weighted net sensitivities within the same bucket shall be aggregated in accordance with the following formula, using the corresponding correlations </w:t>
      </w:r>
      <w:r w:rsidRPr="00180B8D">
        <w:rPr>
          <w:i/>
          <w:lang w:val="en-GB"/>
        </w:rPr>
        <w:t>ρ</w:t>
      </w:r>
      <w:r w:rsidRPr="00180B8D">
        <w:rPr>
          <w:i/>
          <w:vertAlign w:val="subscript"/>
          <w:lang w:val="en-GB"/>
        </w:rPr>
        <w:t xml:space="preserve"> kl</w:t>
      </w:r>
      <w:r w:rsidRPr="00180B8D">
        <w:rPr>
          <w:lang w:val="en-GB"/>
        </w:rPr>
        <w:t xml:space="preserve"> for the weighted sensitivities within the same bucket set out in paragraphs 75-77, 90, 91, 99 and 100, </w:t>
      </w:r>
      <w:r w:rsidR="00234FFF" w:rsidRPr="00234FFF">
        <w:t>giving rise to the bucket-specific sensitivity</w:t>
      </w:r>
      <w:r w:rsidR="00234FFF" w:rsidRPr="00234FFF">
        <w:rPr>
          <w:i/>
          <w:lang w:val="en-GB"/>
        </w:rPr>
        <w:t xml:space="preserve"> </w:t>
      </w:r>
      <w:proofErr w:type="spellStart"/>
      <w:r w:rsidRPr="00180B8D">
        <w:rPr>
          <w:i/>
          <w:lang w:val="en-GB"/>
        </w:rPr>
        <w:t>K</w:t>
      </w:r>
      <w:r w:rsidRPr="00180B8D">
        <w:rPr>
          <w:i/>
          <w:vertAlign w:val="subscript"/>
          <w:lang w:val="en-GB"/>
        </w:rPr>
        <w:t>b</w:t>
      </w:r>
      <w:proofErr w:type="spellEnd"/>
      <w:r w:rsidRPr="00180B8D">
        <w:rPr>
          <w:lang w:val="en-GB"/>
        </w:rPr>
        <w:t>:</w:t>
      </w:r>
    </w:p>
    <w:p w14:paraId="2516038A" w14:textId="77777777" w:rsidR="00657236" w:rsidRPr="00180B8D" w:rsidRDefault="00D655E7">
      <w:pPr>
        <w:pStyle w:val="P68B1DB1-Normal2"/>
        <w:spacing w:after="0" w:line="240" w:lineRule="auto"/>
        <w:ind w:firstLine="567"/>
        <w:jc w:val="both"/>
        <w:rPr>
          <w:lang w:val="en-GB"/>
        </w:rPr>
      </w:pPr>
      <w:r w:rsidRPr="00180B8D">
        <w:rPr>
          <w:lang w:val="en-GB"/>
        </w:rPr>
        <w:t> </w:t>
      </w:r>
    </w:p>
    <w:p w14:paraId="58929C33" w14:textId="31D40BE5" w:rsidR="00657236" w:rsidRPr="00180B8D" w:rsidRDefault="00234FFF">
      <w:pPr>
        <w:pStyle w:val="P68B1DB1-Normal2"/>
        <w:spacing w:after="0" w:line="240" w:lineRule="auto"/>
        <w:jc w:val="center"/>
        <w:rPr>
          <w:lang w:val="en-GB"/>
        </w:rPr>
      </w:pPr>
      <w:r>
        <w:rPr>
          <w:noProof/>
        </w:rPr>
        <w:drawing>
          <wp:inline distT="0" distB="0" distL="0" distR="0" wp14:anchorId="14EE6253" wp14:editId="62DFE17D">
            <wp:extent cx="5001371" cy="641279"/>
            <wp:effectExtent l="0" t="0" r="0" b="6985"/>
            <wp:docPr id="1661295017"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1822" cy="645183"/>
                    </a:xfrm>
                    <a:prstGeom prst="rect">
                      <a:avLst/>
                    </a:prstGeom>
                    <a:noFill/>
                    <a:ln>
                      <a:noFill/>
                    </a:ln>
                  </pic:spPr>
                </pic:pic>
              </a:graphicData>
            </a:graphic>
          </wp:inline>
        </w:drawing>
      </w:r>
    </w:p>
    <w:p w14:paraId="0B7F2CEB" w14:textId="77777777" w:rsidR="00657236" w:rsidRPr="00180B8D" w:rsidRDefault="00D655E7">
      <w:pPr>
        <w:pStyle w:val="P68B1DB1-Normal2"/>
        <w:spacing w:after="0" w:line="240" w:lineRule="auto"/>
        <w:ind w:firstLine="567"/>
        <w:jc w:val="both"/>
        <w:rPr>
          <w:lang w:val="en-GB"/>
        </w:rPr>
      </w:pPr>
      <w:r w:rsidRPr="00180B8D">
        <w:rPr>
          <w:lang w:val="en-GB"/>
        </w:rPr>
        <w:t>where:</w:t>
      </w:r>
    </w:p>
    <w:tbl>
      <w:tblPr>
        <w:tblW w:w="4500" w:type="pct"/>
        <w:jc w:val="center"/>
        <w:tblCellMar>
          <w:top w:w="15" w:type="dxa"/>
          <w:left w:w="15" w:type="dxa"/>
          <w:bottom w:w="15" w:type="dxa"/>
          <w:right w:w="15" w:type="dxa"/>
        </w:tblCellMar>
        <w:tblLook w:val="04A0" w:firstRow="1" w:lastRow="0" w:firstColumn="1" w:lastColumn="0" w:noHBand="0" w:noVBand="1"/>
      </w:tblPr>
      <w:tblGrid>
        <w:gridCol w:w="600"/>
        <w:gridCol w:w="7820"/>
      </w:tblGrid>
      <w:tr w:rsidR="00657236" w:rsidRPr="00180B8D" w14:paraId="2C5F2655" w14:textId="77777777">
        <w:trPr>
          <w:jc w:val="center"/>
        </w:trPr>
        <w:tc>
          <w:tcPr>
            <w:tcW w:w="600" w:type="dxa"/>
            <w:tcBorders>
              <w:top w:val="nil"/>
              <w:left w:val="nil"/>
              <w:bottom w:val="nil"/>
              <w:right w:val="nil"/>
            </w:tcBorders>
            <w:tcMar>
              <w:top w:w="24" w:type="dxa"/>
              <w:left w:w="48" w:type="dxa"/>
              <w:bottom w:w="24" w:type="dxa"/>
              <w:right w:w="48" w:type="dxa"/>
            </w:tcMar>
            <w:hideMark/>
          </w:tcPr>
          <w:p w14:paraId="28EAE56D" w14:textId="6F4308E3" w:rsidR="00657236" w:rsidRPr="00180B8D" w:rsidRDefault="00D655E7">
            <w:pPr>
              <w:pStyle w:val="P68B1DB1-Normal4"/>
              <w:spacing w:after="0" w:line="240" w:lineRule="auto"/>
              <w:rPr>
                <w:lang w:val="en-GB"/>
              </w:rPr>
            </w:pPr>
            <w:proofErr w:type="spellStart"/>
            <w:r w:rsidRPr="00180B8D">
              <w:rPr>
                <w:lang w:val="en-GB"/>
              </w:rPr>
              <w:t>K</w:t>
            </w:r>
            <w:r w:rsidRPr="00180B8D">
              <w:rPr>
                <w:vertAlign w:val="subscript"/>
                <w:lang w:val="en-GB"/>
              </w:rPr>
              <w:t>b</w:t>
            </w:r>
            <w:proofErr w:type="spellEnd"/>
          </w:p>
        </w:tc>
        <w:tc>
          <w:tcPr>
            <w:tcW w:w="0" w:type="auto"/>
            <w:tcBorders>
              <w:top w:val="nil"/>
              <w:left w:val="nil"/>
              <w:bottom w:val="nil"/>
              <w:right w:val="nil"/>
            </w:tcBorders>
            <w:tcMar>
              <w:top w:w="24" w:type="dxa"/>
              <w:left w:w="48" w:type="dxa"/>
              <w:bottom w:w="24" w:type="dxa"/>
              <w:right w:w="48" w:type="dxa"/>
            </w:tcMar>
            <w:hideMark/>
          </w:tcPr>
          <w:p w14:paraId="567046F6" w14:textId="3BC338AF" w:rsidR="00657236" w:rsidRPr="00180B8D" w:rsidRDefault="00D655E7">
            <w:pPr>
              <w:pStyle w:val="P68B1DB1-Normal2"/>
              <w:spacing w:after="0" w:line="240" w:lineRule="auto"/>
              <w:rPr>
                <w:lang w:val="en-GB"/>
              </w:rPr>
            </w:pPr>
            <w:r w:rsidRPr="00180B8D">
              <w:rPr>
                <w:lang w:val="en-GB"/>
              </w:rPr>
              <w:t xml:space="preserve">= </w:t>
            </w:r>
            <w:r w:rsidR="00234FFF" w:rsidRPr="00234FFF">
              <w:t>the bucket-specific sensitivity of bucket b</w:t>
            </w:r>
            <w:r w:rsidRPr="00180B8D">
              <w:rPr>
                <w:lang w:val="en-GB"/>
              </w:rPr>
              <w:t>;</w:t>
            </w:r>
          </w:p>
        </w:tc>
      </w:tr>
      <w:tr w:rsidR="00657236" w:rsidRPr="00180B8D" w14:paraId="614210AD" w14:textId="77777777">
        <w:trPr>
          <w:jc w:val="center"/>
        </w:trPr>
        <w:tc>
          <w:tcPr>
            <w:tcW w:w="600" w:type="dxa"/>
            <w:tcBorders>
              <w:top w:val="nil"/>
              <w:left w:val="nil"/>
              <w:bottom w:val="nil"/>
              <w:right w:val="nil"/>
            </w:tcBorders>
            <w:tcMar>
              <w:top w:w="24" w:type="dxa"/>
              <w:left w:w="48" w:type="dxa"/>
              <w:bottom w:w="24" w:type="dxa"/>
              <w:right w:w="48" w:type="dxa"/>
            </w:tcMar>
            <w:hideMark/>
          </w:tcPr>
          <w:p w14:paraId="594E51FC" w14:textId="79B8DF67" w:rsidR="00657236" w:rsidRPr="00180B8D" w:rsidRDefault="00D655E7">
            <w:pPr>
              <w:pStyle w:val="P68B1DB1-Normal4"/>
              <w:spacing w:after="0" w:line="240" w:lineRule="auto"/>
              <w:rPr>
                <w:lang w:val="en-GB"/>
              </w:rPr>
            </w:pPr>
            <w:proofErr w:type="spellStart"/>
            <w:r w:rsidRPr="00180B8D">
              <w:rPr>
                <w:lang w:val="en-GB"/>
              </w:rPr>
              <w:t>WS</w:t>
            </w:r>
            <w:r w:rsidRPr="00180B8D">
              <w:rPr>
                <w:vertAlign w:val="subscript"/>
                <w:lang w:val="en-GB"/>
              </w:rPr>
              <w:t>k</w:t>
            </w:r>
            <w:proofErr w:type="spellEnd"/>
          </w:p>
        </w:tc>
        <w:tc>
          <w:tcPr>
            <w:tcW w:w="0" w:type="auto"/>
            <w:tcBorders>
              <w:top w:val="nil"/>
              <w:left w:val="nil"/>
              <w:bottom w:val="nil"/>
              <w:right w:val="nil"/>
            </w:tcBorders>
            <w:tcMar>
              <w:top w:w="24" w:type="dxa"/>
              <w:left w:w="48" w:type="dxa"/>
              <w:bottom w:w="24" w:type="dxa"/>
              <w:right w:w="48" w:type="dxa"/>
            </w:tcMar>
            <w:hideMark/>
          </w:tcPr>
          <w:p w14:paraId="2CAC18D9" w14:textId="2E34972F" w:rsidR="00657236" w:rsidRPr="00180B8D" w:rsidRDefault="00D655E7">
            <w:pPr>
              <w:pStyle w:val="P68B1DB1-Normal2"/>
              <w:spacing w:after="0" w:line="240" w:lineRule="auto"/>
              <w:rPr>
                <w:lang w:val="en-GB"/>
              </w:rPr>
            </w:pPr>
            <w:r w:rsidRPr="00180B8D">
              <w:rPr>
                <w:lang w:val="en-GB"/>
              </w:rPr>
              <w:t xml:space="preserve">= </w:t>
            </w:r>
            <w:r w:rsidR="00234FFF" w:rsidRPr="00234FFF">
              <w:t>the net-weighted sensitivities</w:t>
            </w:r>
            <w:r w:rsidRPr="00180B8D">
              <w:rPr>
                <w:lang w:val="en-GB"/>
              </w:rPr>
              <w:t>;</w:t>
            </w:r>
          </w:p>
        </w:tc>
      </w:tr>
      <w:tr w:rsidR="00657236" w:rsidRPr="00180B8D" w14:paraId="1618FCBE" w14:textId="77777777">
        <w:trPr>
          <w:jc w:val="center"/>
        </w:trPr>
        <w:tc>
          <w:tcPr>
            <w:tcW w:w="600" w:type="dxa"/>
            <w:tcBorders>
              <w:top w:val="nil"/>
              <w:left w:val="nil"/>
              <w:bottom w:val="nil"/>
              <w:right w:val="nil"/>
            </w:tcBorders>
            <w:tcMar>
              <w:top w:w="24" w:type="dxa"/>
              <w:left w:w="48" w:type="dxa"/>
              <w:bottom w:w="24" w:type="dxa"/>
              <w:right w:w="48" w:type="dxa"/>
            </w:tcMar>
            <w:hideMark/>
          </w:tcPr>
          <w:p w14:paraId="3E86A081" w14:textId="445F64D5" w:rsidR="00657236" w:rsidRPr="00180B8D" w:rsidRDefault="00D655E7">
            <w:pPr>
              <w:pStyle w:val="P68B1DB1-Normal4"/>
              <w:spacing w:after="0" w:line="240" w:lineRule="auto"/>
              <w:rPr>
                <w:lang w:val="en-GB"/>
              </w:rPr>
            </w:pPr>
            <w:proofErr w:type="spellStart"/>
            <w:r w:rsidRPr="00180B8D">
              <w:rPr>
                <w:lang w:val="en-GB"/>
              </w:rPr>
              <w:t>ρ</w:t>
            </w:r>
            <w:r w:rsidRPr="00180B8D">
              <w:rPr>
                <w:vertAlign w:val="subscript"/>
                <w:lang w:val="en-GB"/>
              </w:rPr>
              <w:t>kl</w:t>
            </w:r>
            <w:proofErr w:type="spellEnd"/>
          </w:p>
        </w:tc>
        <w:tc>
          <w:tcPr>
            <w:tcW w:w="0" w:type="auto"/>
            <w:tcBorders>
              <w:top w:val="nil"/>
              <w:left w:val="nil"/>
              <w:bottom w:val="nil"/>
              <w:right w:val="nil"/>
            </w:tcBorders>
            <w:tcMar>
              <w:top w:w="24" w:type="dxa"/>
              <w:left w:w="48" w:type="dxa"/>
              <w:bottom w:w="24" w:type="dxa"/>
              <w:right w:w="48" w:type="dxa"/>
            </w:tcMar>
            <w:hideMark/>
          </w:tcPr>
          <w:p w14:paraId="4DC83EAB" w14:textId="64D3398E" w:rsidR="00657236" w:rsidRPr="00180B8D" w:rsidRDefault="00D655E7">
            <w:pPr>
              <w:pStyle w:val="P68B1DB1-Normal2"/>
              <w:spacing w:after="0" w:line="240" w:lineRule="auto"/>
              <w:rPr>
                <w:lang w:val="en-GB"/>
              </w:rPr>
            </w:pPr>
            <w:r w:rsidRPr="00180B8D">
              <w:rPr>
                <w:lang w:val="en-GB"/>
              </w:rPr>
              <w:t xml:space="preserve">= </w:t>
            </w:r>
            <w:r w:rsidR="00234FFF" w:rsidRPr="00234FFF">
              <w:t>the corresponding intra-bucket correlation parameters</w:t>
            </w:r>
            <w:r w:rsidRPr="00180B8D">
              <w:rPr>
                <w:lang w:val="en-GB"/>
              </w:rPr>
              <w:t>;</w:t>
            </w:r>
          </w:p>
        </w:tc>
      </w:tr>
      <w:tr w:rsidR="00657236" w:rsidRPr="00180B8D" w14:paraId="3E92F2B0" w14:textId="77777777">
        <w:trPr>
          <w:jc w:val="center"/>
        </w:trPr>
        <w:tc>
          <w:tcPr>
            <w:tcW w:w="600" w:type="dxa"/>
            <w:tcBorders>
              <w:top w:val="nil"/>
              <w:left w:val="nil"/>
              <w:bottom w:val="nil"/>
              <w:right w:val="nil"/>
            </w:tcBorders>
            <w:tcMar>
              <w:top w:w="24" w:type="dxa"/>
              <w:left w:w="48" w:type="dxa"/>
              <w:bottom w:w="24" w:type="dxa"/>
              <w:right w:w="48" w:type="dxa"/>
            </w:tcMar>
            <w:hideMark/>
          </w:tcPr>
          <w:p w14:paraId="57A4B799" w14:textId="77777777" w:rsidR="00657236" w:rsidRPr="00180B8D" w:rsidRDefault="00D655E7">
            <w:pPr>
              <w:pStyle w:val="P68B1DB1-Normal4"/>
              <w:spacing w:after="0" w:line="240" w:lineRule="auto"/>
              <w:rPr>
                <w:lang w:val="en-GB"/>
              </w:rPr>
            </w:pPr>
            <w:r w:rsidRPr="00180B8D">
              <w:rPr>
                <w:lang w:val="en-GB"/>
              </w:rPr>
              <w:t>R</w:t>
            </w:r>
          </w:p>
        </w:tc>
        <w:tc>
          <w:tcPr>
            <w:tcW w:w="0" w:type="auto"/>
            <w:tcBorders>
              <w:top w:val="nil"/>
              <w:left w:val="nil"/>
              <w:bottom w:val="nil"/>
              <w:right w:val="nil"/>
            </w:tcBorders>
            <w:tcMar>
              <w:top w:w="24" w:type="dxa"/>
              <w:left w:w="48" w:type="dxa"/>
              <w:bottom w:w="24" w:type="dxa"/>
              <w:right w:w="48" w:type="dxa"/>
            </w:tcMar>
            <w:hideMark/>
          </w:tcPr>
          <w:p w14:paraId="652459B9" w14:textId="64B9CAC3" w:rsidR="00657236" w:rsidRPr="00180B8D" w:rsidRDefault="00D655E7">
            <w:pPr>
              <w:pStyle w:val="P68B1DB1-Normal2"/>
              <w:spacing w:after="0" w:line="240" w:lineRule="auto"/>
              <w:rPr>
                <w:lang w:val="en-GB"/>
              </w:rPr>
            </w:pPr>
            <w:r w:rsidRPr="00180B8D">
              <w:rPr>
                <w:lang w:val="en-GB"/>
              </w:rPr>
              <w:t xml:space="preserve">= </w:t>
            </w:r>
            <w:r w:rsidR="00234FFF" w:rsidRPr="00234FFF">
              <w:t>the hedging disallowance parameter equal to 0,01</w:t>
            </w:r>
            <w:r w:rsidRPr="00180B8D">
              <w:rPr>
                <w:lang w:val="en-GB"/>
              </w:rPr>
              <w:t>.</w:t>
            </w:r>
          </w:p>
        </w:tc>
      </w:tr>
    </w:tbl>
    <w:p w14:paraId="267513AB" w14:textId="77777777" w:rsidR="00657236" w:rsidRPr="00180B8D" w:rsidRDefault="00D655E7">
      <w:pPr>
        <w:pStyle w:val="P68B1DB1-Normal2"/>
        <w:spacing w:after="0" w:line="240" w:lineRule="auto"/>
        <w:ind w:firstLine="567"/>
        <w:jc w:val="both"/>
        <w:rPr>
          <w:lang w:val="en-GB"/>
        </w:rPr>
      </w:pPr>
      <w:r w:rsidRPr="00180B8D">
        <w:rPr>
          <w:lang w:val="en-GB"/>
        </w:rPr>
        <w:t> </w:t>
      </w:r>
    </w:p>
    <w:p w14:paraId="748056C4" w14:textId="323BBBE2" w:rsidR="00657236" w:rsidRPr="00180B8D" w:rsidRDefault="00D655E7">
      <w:pPr>
        <w:pStyle w:val="P68B1DB1-Normal2"/>
        <w:spacing w:after="0" w:line="240" w:lineRule="auto"/>
        <w:ind w:firstLine="567"/>
        <w:jc w:val="both"/>
        <w:rPr>
          <w:lang w:val="en-GB"/>
        </w:rPr>
      </w:pPr>
      <w:r w:rsidRPr="00180B8D">
        <w:rPr>
          <w:b/>
          <w:lang w:val="en-GB"/>
        </w:rPr>
        <w:t>40.</w:t>
      </w:r>
      <w:r w:rsidRPr="00180B8D">
        <w:rPr>
          <w:lang w:val="en-GB"/>
        </w:rPr>
        <w:t xml:space="preserve"> The bucket-specific sensitivity shall be calculated in accordance with </w:t>
      </w:r>
      <w:r w:rsidR="00FC5986">
        <w:rPr>
          <w:lang w:val="en-GB"/>
        </w:rPr>
        <w:t>paragraphs</w:t>
      </w:r>
      <w:r w:rsidRPr="00180B8D">
        <w:rPr>
          <w:lang w:val="en-GB"/>
        </w:rPr>
        <w:t xml:space="preserve"> 37 to 39 for each bucket within a risk class. Once the bucket-specific sensitivity has been calculated for all buckets, the weighted sensitivities to all risk factors </w:t>
      </w:r>
      <w:r w:rsidR="00FC5986" w:rsidRPr="00FC5986">
        <w:t>across </w:t>
      </w:r>
      <w:r w:rsidRPr="00180B8D">
        <w:rPr>
          <w:lang w:val="en-GB"/>
        </w:rPr>
        <w:t xml:space="preserve">buckets shall be aggregated in accordance with the </w:t>
      </w:r>
      <w:r w:rsidR="00FC5986" w:rsidRPr="00FC5986">
        <w:t>following formula</w:t>
      </w:r>
      <w:r w:rsidRPr="00180B8D">
        <w:rPr>
          <w:lang w:val="en-GB"/>
        </w:rPr>
        <w:t xml:space="preserve">, using the corresponding correlations </w:t>
      </w:r>
      <w:proofErr w:type="spellStart"/>
      <w:r w:rsidRPr="00180B8D">
        <w:rPr>
          <w:i/>
          <w:lang w:val="en-GB"/>
        </w:rPr>
        <w:t>γ</w:t>
      </w:r>
      <w:r w:rsidRPr="00180B8D">
        <w:rPr>
          <w:i/>
          <w:vertAlign w:val="subscript"/>
          <w:lang w:val="en-GB"/>
        </w:rPr>
        <w:t>bc</w:t>
      </w:r>
      <w:proofErr w:type="spellEnd"/>
      <w:r w:rsidRPr="00180B8D">
        <w:rPr>
          <w:lang w:val="en-GB"/>
        </w:rPr>
        <w:t xml:space="preserve"> for the weighted sensitivities in different buckets set out in paragraphs 75 to 77, 83, 84, 92, 101, 102, 108, 111 and 112 </w:t>
      </w:r>
      <w:r w:rsidR="00FC5986" w:rsidRPr="00FC5986">
        <w:t xml:space="preserve">giving rise to the risk-class specific own funds requirements for delta or </w:t>
      </w:r>
      <w:proofErr w:type="spellStart"/>
      <w:r w:rsidR="00FC5986" w:rsidRPr="00FC5986">
        <w:t>vega</w:t>
      </w:r>
      <w:proofErr w:type="spellEnd"/>
      <w:r w:rsidR="00FC5986" w:rsidRPr="00FC5986">
        <w:t xml:space="preserve"> risk</w:t>
      </w:r>
      <w:r w:rsidRPr="00180B8D">
        <w:rPr>
          <w:lang w:val="en-GB"/>
        </w:rPr>
        <w:t>:</w:t>
      </w:r>
    </w:p>
    <w:p w14:paraId="7A8DA0A0" w14:textId="77777777" w:rsidR="00657236" w:rsidRPr="00180B8D" w:rsidRDefault="00D655E7">
      <w:pPr>
        <w:pStyle w:val="P68B1DB1-Normal2"/>
        <w:spacing w:after="0" w:line="240" w:lineRule="auto"/>
        <w:ind w:firstLine="567"/>
        <w:jc w:val="both"/>
        <w:rPr>
          <w:lang w:val="en-GB"/>
        </w:rPr>
      </w:pPr>
      <w:r w:rsidRPr="00180B8D">
        <w:rPr>
          <w:lang w:val="en-GB"/>
        </w:rPr>
        <w:t> </w:t>
      </w:r>
    </w:p>
    <w:p w14:paraId="26580B0B" w14:textId="5B6498E5" w:rsidR="00657236" w:rsidRPr="00180B8D" w:rsidRDefault="00FC5986">
      <w:pPr>
        <w:pStyle w:val="P68B1DB1-Normal2"/>
        <w:spacing w:after="0" w:line="240" w:lineRule="auto"/>
        <w:jc w:val="center"/>
        <w:rPr>
          <w:lang w:val="en-GB"/>
        </w:rPr>
      </w:pPr>
      <w:r>
        <w:rPr>
          <w:noProof/>
        </w:rPr>
        <w:drawing>
          <wp:inline distT="0" distB="0" distL="0" distR="0" wp14:anchorId="68068DAF" wp14:editId="34A6177D">
            <wp:extent cx="4879792" cy="882429"/>
            <wp:effectExtent l="0" t="0" r="0" b="0"/>
            <wp:docPr id="1760805920"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85325" cy="883429"/>
                    </a:xfrm>
                    <a:prstGeom prst="rect">
                      <a:avLst/>
                    </a:prstGeom>
                    <a:noFill/>
                    <a:ln>
                      <a:noFill/>
                    </a:ln>
                  </pic:spPr>
                </pic:pic>
              </a:graphicData>
            </a:graphic>
          </wp:inline>
        </w:drawing>
      </w:r>
    </w:p>
    <w:p w14:paraId="1AAC74A6" w14:textId="77777777" w:rsidR="00657236" w:rsidRPr="00180B8D" w:rsidRDefault="00D655E7">
      <w:pPr>
        <w:pStyle w:val="P68B1DB1-Normal2"/>
        <w:spacing w:after="0" w:line="240" w:lineRule="auto"/>
        <w:ind w:firstLine="567"/>
        <w:jc w:val="both"/>
        <w:rPr>
          <w:lang w:val="en-GB"/>
        </w:rPr>
      </w:pPr>
      <w:r w:rsidRPr="00180B8D">
        <w:rPr>
          <w:lang w:val="en-GB"/>
        </w:rPr>
        <w:t>where:</w:t>
      </w:r>
    </w:p>
    <w:tbl>
      <w:tblPr>
        <w:tblW w:w="4500" w:type="pct"/>
        <w:jc w:val="center"/>
        <w:tblCellMar>
          <w:top w:w="15" w:type="dxa"/>
          <w:left w:w="15" w:type="dxa"/>
          <w:bottom w:w="15" w:type="dxa"/>
          <w:right w:w="15" w:type="dxa"/>
        </w:tblCellMar>
        <w:tblLook w:val="04A0" w:firstRow="1" w:lastRow="0" w:firstColumn="1" w:lastColumn="0" w:noHBand="0" w:noVBand="1"/>
      </w:tblPr>
      <w:tblGrid>
        <w:gridCol w:w="600"/>
        <w:gridCol w:w="7820"/>
      </w:tblGrid>
      <w:tr w:rsidR="00657236" w:rsidRPr="00180B8D" w14:paraId="707A4A33" w14:textId="77777777">
        <w:trPr>
          <w:jc w:val="center"/>
        </w:trPr>
        <w:tc>
          <w:tcPr>
            <w:tcW w:w="600" w:type="dxa"/>
            <w:tcBorders>
              <w:top w:val="nil"/>
              <w:left w:val="nil"/>
              <w:bottom w:val="nil"/>
              <w:right w:val="nil"/>
            </w:tcBorders>
            <w:tcMar>
              <w:top w:w="24" w:type="dxa"/>
              <w:left w:w="48" w:type="dxa"/>
              <w:bottom w:w="24" w:type="dxa"/>
              <w:right w:w="48" w:type="dxa"/>
            </w:tcMar>
            <w:hideMark/>
          </w:tcPr>
          <w:p w14:paraId="6503BB00" w14:textId="7B7E40F1" w:rsidR="00657236" w:rsidRPr="00180B8D" w:rsidRDefault="00D655E7">
            <w:pPr>
              <w:pStyle w:val="P68B1DB1-Normal4"/>
              <w:spacing w:after="0" w:line="240" w:lineRule="auto"/>
              <w:rPr>
                <w:lang w:val="en-GB"/>
              </w:rPr>
            </w:pPr>
            <w:proofErr w:type="spellStart"/>
            <w:r w:rsidRPr="00180B8D">
              <w:rPr>
                <w:lang w:val="en-GB"/>
              </w:rPr>
              <w:t>m</w:t>
            </w:r>
            <w:r w:rsidRPr="00180B8D">
              <w:rPr>
                <w:vertAlign w:val="subscript"/>
                <w:lang w:val="en-GB"/>
              </w:rPr>
              <w:t>CVA</w:t>
            </w:r>
            <w:proofErr w:type="spellEnd"/>
          </w:p>
        </w:tc>
        <w:tc>
          <w:tcPr>
            <w:tcW w:w="0" w:type="auto"/>
            <w:tcBorders>
              <w:top w:val="nil"/>
              <w:left w:val="nil"/>
              <w:bottom w:val="nil"/>
              <w:right w:val="nil"/>
            </w:tcBorders>
            <w:tcMar>
              <w:top w:w="24" w:type="dxa"/>
              <w:left w:w="48" w:type="dxa"/>
              <w:bottom w:w="24" w:type="dxa"/>
              <w:right w:w="48" w:type="dxa"/>
            </w:tcMar>
            <w:hideMark/>
          </w:tcPr>
          <w:p w14:paraId="5B29DFC4" w14:textId="312BA0CD" w:rsidR="00657236" w:rsidRPr="00180B8D" w:rsidRDefault="00D655E7">
            <w:pPr>
              <w:pStyle w:val="P68B1DB1-Normal2"/>
              <w:spacing w:after="0" w:line="240" w:lineRule="auto"/>
              <w:rPr>
                <w:lang w:val="en-GB"/>
              </w:rPr>
            </w:pPr>
            <w:r w:rsidRPr="00180B8D">
              <w:rPr>
                <w:lang w:val="en-GB"/>
              </w:rPr>
              <w:t xml:space="preserve">= a </w:t>
            </w:r>
            <w:r w:rsidR="0086180D" w:rsidRPr="0086180D">
              <w:t>multiplier factor which is equal to 1</w:t>
            </w:r>
            <w:r w:rsidRPr="00180B8D">
              <w:rPr>
                <w:lang w:val="en-GB"/>
              </w:rPr>
              <w:t xml:space="preserve">; The National Bank of Moldova may increase the value of </w:t>
            </w:r>
            <w:r w:rsidRPr="00180B8D">
              <w:rPr>
                <w:i/>
                <w:lang w:val="en-GB"/>
              </w:rPr>
              <w:t>m</w:t>
            </w:r>
            <w:r w:rsidRPr="00180B8D">
              <w:rPr>
                <w:i/>
                <w:vertAlign w:val="subscript"/>
                <w:lang w:val="en-GB"/>
              </w:rPr>
              <w:t xml:space="preserve"> CVA</w:t>
            </w:r>
            <w:r w:rsidRPr="00180B8D">
              <w:rPr>
                <w:lang w:val="en-GB"/>
              </w:rPr>
              <w:t xml:space="preserve"> if the bank’s regulatory CVA model shows </w:t>
            </w:r>
            <w:r w:rsidR="0086180D" w:rsidRPr="0086180D">
              <w:t>deficiencies </w:t>
            </w:r>
            <w:r w:rsidRPr="00180B8D">
              <w:rPr>
                <w:lang w:val="en-GB"/>
              </w:rPr>
              <w:t>prevent</w:t>
            </w:r>
            <w:r w:rsidR="0086180D">
              <w:rPr>
                <w:lang w:val="en-GB"/>
              </w:rPr>
              <w:t>ing</w:t>
            </w:r>
            <w:r w:rsidRPr="00180B8D">
              <w:rPr>
                <w:lang w:val="en-GB"/>
              </w:rPr>
              <w:t xml:space="preserve"> the appropriate measurement of the own </w:t>
            </w:r>
            <w:proofErr w:type="gramStart"/>
            <w:r w:rsidRPr="00180B8D">
              <w:rPr>
                <w:lang w:val="en-GB"/>
              </w:rPr>
              <w:t>funds</w:t>
            </w:r>
            <w:proofErr w:type="gramEnd"/>
            <w:r w:rsidRPr="00180B8D">
              <w:rPr>
                <w:lang w:val="en-GB"/>
              </w:rPr>
              <w:t xml:space="preserve"> requirements for CVA risk;</w:t>
            </w:r>
          </w:p>
        </w:tc>
      </w:tr>
      <w:tr w:rsidR="00657236" w:rsidRPr="00180B8D" w14:paraId="77E41601" w14:textId="77777777">
        <w:trPr>
          <w:jc w:val="center"/>
        </w:trPr>
        <w:tc>
          <w:tcPr>
            <w:tcW w:w="600" w:type="dxa"/>
            <w:tcBorders>
              <w:top w:val="nil"/>
              <w:left w:val="nil"/>
              <w:bottom w:val="nil"/>
              <w:right w:val="nil"/>
            </w:tcBorders>
            <w:tcMar>
              <w:top w:w="24" w:type="dxa"/>
              <w:left w:w="48" w:type="dxa"/>
              <w:bottom w:w="24" w:type="dxa"/>
              <w:right w:w="48" w:type="dxa"/>
            </w:tcMar>
            <w:hideMark/>
          </w:tcPr>
          <w:p w14:paraId="1E7D8B3A" w14:textId="71C4A86B" w:rsidR="00657236" w:rsidRPr="00180B8D" w:rsidRDefault="00D655E7">
            <w:pPr>
              <w:pStyle w:val="P68B1DB1-Normal4"/>
              <w:spacing w:after="0" w:line="240" w:lineRule="auto"/>
              <w:rPr>
                <w:lang w:val="en-GB"/>
              </w:rPr>
            </w:pPr>
            <w:proofErr w:type="spellStart"/>
            <w:r w:rsidRPr="00180B8D">
              <w:rPr>
                <w:lang w:val="en-GB"/>
              </w:rPr>
              <w:t>K</w:t>
            </w:r>
            <w:r w:rsidRPr="00180B8D">
              <w:rPr>
                <w:vertAlign w:val="subscript"/>
                <w:lang w:val="en-GB"/>
              </w:rPr>
              <w:t>b</w:t>
            </w:r>
            <w:proofErr w:type="spellEnd"/>
          </w:p>
        </w:tc>
        <w:tc>
          <w:tcPr>
            <w:tcW w:w="0" w:type="auto"/>
            <w:tcBorders>
              <w:top w:val="nil"/>
              <w:left w:val="nil"/>
              <w:bottom w:val="nil"/>
              <w:right w:val="nil"/>
            </w:tcBorders>
            <w:tcMar>
              <w:top w:w="24" w:type="dxa"/>
              <w:left w:w="48" w:type="dxa"/>
              <w:bottom w:w="24" w:type="dxa"/>
              <w:right w:w="48" w:type="dxa"/>
            </w:tcMar>
            <w:hideMark/>
          </w:tcPr>
          <w:p w14:paraId="5152FDEC" w14:textId="65995BC1" w:rsidR="00657236" w:rsidRPr="00180B8D" w:rsidRDefault="00D655E7">
            <w:pPr>
              <w:pStyle w:val="P68B1DB1-Normal2"/>
              <w:spacing w:after="0" w:line="240" w:lineRule="auto"/>
              <w:rPr>
                <w:lang w:val="en-GB"/>
              </w:rPr>
            </w:pPr>
            <w:r w:rsidRPr="00180B8D">
              <w:rPr>
                <w:lang w:val="en-GB"/>
              </w:rPr>
              <w:t xml:space="preserve">= </w:t>
            </w:r>
            <w:r w:rsidR="0086180D" w:rsidRPr="0086180D">
              <w:t>the bucket-specific sensitivity of bucket b</w:t>
            </w:r>
            <w:r w:rsidRPr="00180B8D">
              <w:rPr>
                <w:lang w:val="en-GB"/>
              </w:rPr>
              <w:t>;</w:t>
            </w:r>
            <w:r w:rsidR="0086180D">
              <w:rPr>
                <w:lang w:val="en-GB"/>
              </w:rPr>
              <w:t xml:space="preserve"> </w:t>
            </w:r>
          </w:p>
        </w:tc>
      </w:tr>
      <w:tr w:rsidR="00657236" w:rsidRPr="00180B8D" w14:paraId="533869C0" w14:textId="77777777">
        <w:trPr>
          <w:jc w:val="center"/>
        </w:trPr>
        <w:tc>
          <w:tcPr>
            <w:tcW w:w="600" w:type="dxa"/>
            <w:tcBorders>
              <w:top w:val="nil"/>
              <w:left w:val="nil"/>
              <w:bottom w:val="nil"/>
              <w:right w:val="nil"/>
            </w:tcBorders>
            <w:tcMar>
              <w:top w:w="24" w:type="dxa"/>
              <w:left w:w="48" w:type="dxa"/>
              <w:bottom w:w="24" w:type="dxa"/>
              <w:right w:w="48" w:type="dxa"/>
            </w:tcMar>
            <w:hideMark/>
          </w:tcPr>
          <w:p w14:paraId="042D2B50" w14:textId="68351FFA" w:rsidR="00657236" w:rsidRPr="00180B8D" w:rsidRDefault="00D655E7">
            <w:pPr>
              <w:pStyle w:val="P68B1DB1-Normal4"/>
              <w:spacing w:after="0" w:line="240" w:lineRule="auto"/>
              <w:rPr>
                <w:lang w:val="en-GB"/>
              </w:rPr>
            </w:pPr>
            <w:proofErr w:type="spellStart"/>
            <w:r w:rsidRPr="00180B8D">
              <w:rPr>
                <w:lang w:val="en-GB"/>
              </w:rPr>
              <w:t>γ</w:t>
            </w:r>
            <w:r w:rsidRPr="00180B8D">
              <w:rPr>
                <w:vertAlign w:val="subscript"/>
                <w:lang w:val="en-GB"/>
              </w:rPr>
              <w:t>bc</w:t>
            </w:r>
            <w:proofErr w:type="spellEnd"/>
          </w:p>
        </w:tc>
        <w:tc>
          <w:tcPr>
            <w:tcW w:w="0" w:type="auto"/>
            <w:tcBorders>
              <w:top w:val="nil"/>
              <w:left w:val="nil"/>
              <w:bottom w:val="nil"/>
              <w:right w:val="nil"/>
            </w:tcBorders>
            <w:tcMar>
              <w:top w:w="24" w:type="dxa"/>
              <w:left w:w="48" w:type="dxa"/>
              <w:bottom w:w="24" w:type="dxa"/>
              <w:right w:w="48" w:type="dxa"/>
            </w:tcMar>
            <w:hideMark/>
          </w:tcPr>
          <w:p w14:paraId="53E354C8" w14:textId="27AE88D1" w:rsidR="00657236" w:rsidRPr="00180B8D" w:rsidRDefault="00D655E7">
            <w:pPr>
              <w:pStyle w:val="P68B1DB1-Normal2"/>
              <w:spacing w:after="0" w:line="240" w:lineRule="auto"/>
              <w:rPr>
                <w:lang w:val="en-GB"/>
              </w:rPr>
            </w:pPr>
            <w:r w:rsidRPr="00180B8D">
              <w:rPr>
                <w:lang w:val="en-GB"/>
              </w:rPr>
              <w:t xml:space="preserve">= </w:t>
            </w:r>
            <w:r w:rsidR="0086180D">
              <w:rPr>
                <w:lang w:val="en-GB"/>
              </w:rPr>
              <w:t xml:space="preserve">the </w:t>
            </w:r>
            <w:r w:rsidRPr="00180B8D">
              <w:rPr>
                <w:lang w:val="en-GB"/>
              </w:rPr>
              <w:t>correlation parameter between buckets b and c;</w:t>
            </w:r>
          </w:p>
        </w:tc>
      </w:tr>
    </w:tbl>
    <w:p w14:paraId="363DD693" w14:textId="77777777" w:rsidR="00657236" w:rsidRPr="00180B8D" w:rsidRDefault="00D655E7">
      <w:pPr>
        <w:pStyle w:val="P68B1DB1-Normal2"/>
        <w:spacing w:after="0" w:line="240" w:lineRule="auto"/>
        <w:ind w:firstLine="567"/>
        <w:jc w:val="both"/>
        <w:rPr>
          <w:lang w:val="en-GB"/>
        </w:rPr>
      </w:pPr>
      <w:r w:rsidRPr="00180B8D">
        <w:rPr>
          <w:lang w:val="en-GB"/>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866"/>
        <w:gridCol w:w="3554"/>
      </w:tblGrid>
      <w:tr w:rsidR="00657236" w:rsidRPr="00180B8D" w14:paraId="5AF83B49" w14:textId="77777777">
        <w:trPr>
          <w:jc w:val="center"/>
        </w:trPr>
        <w:tc>
          <w:tcPr>
            <w:tcW w:w="500" w:type="pct"/>
            <w:tcBorders>
              <w:top w:val="nil"/>
              <w:left w:val="nil"/>
              <w:bottom w:val="nil"/>
              <w:right w:val="nil"/>
            </w:tcBorders>
            <w:tcMar>
              <w:top w:w="24" w:type="dxa"/>
              <w:left w:w="48" w:type="dxa"/>
              <w:bottom w:w="24" w:type="dxa"/>
              <w:right w:w="48" w:type="dxa"/>
            </w:tcMar>
            <w:hideMark/>
          </w:tcPr>
          <w:p w14:paraId="7D5D877C" w14:textId="526A6CCA" w:rsidR="00657236" w:rsidRPr="00180B8D" w:rsidRDefault="00D655E7">
            <w:pPr>
              <w:pStyle w:val="P68B1DB1-Normal2"/>
              <w:spacing w:after="0" w:line="240" w:lineRule="auto"/>
              <w:rPr>
                <w:lang w:val="en-GB"/>
              </w:rPr>
            </w:pPr>
            <w:r w:rsidRPr="00180B8D">
              <w:rPr>
                <w:noProof/>
                <w:lang w:val="en-GB"/>
              </w:rPr>
              <w:drawing>
                <wp:inline distT="0" distB="0" distL="0" distR="0" wp14:anchorId="3E0D8945" wp14:editId="21303B94">
                  <wp:extent cx="3019425" cy="638175"/>
                  <wp:effectExtent l="0" t="0" r="9525"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19425" cy="63817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0823A832" w14:textId="77777777" w:rsidR="00657236" w:rsidRPr="00180B8D" w:rsidRDefault="00D655E7">
            <w:pPr>
              <w:pStyle w:val="P68B1DB1-Normal2"/>
              <w:spacing w:after="0" w:line="240" w:lineRule="auto"/>
              <w:rPr>
                <w:lang w:val="en-GB"/>
              </w:rPr>
            </w:pPr>
            <w:r w:rsidRPr="00180B8D">
              <w:rPr>
                <w:lang w:val="en-GB"/>
              </w:rPr>
              <w:br/>
              <w:t>for all risk factors in bucket b;</w:t>
            </w:r>
          </w:p>
        </w:tc>
      </w:tr>
    </w:tbl>
    <w:p w14:paraId="00075769" w14:textId="77777777" w:rsidR="00657236" w:rsidRPr="00180B8D" w:rsidRDefault="00D655E7">
      <w:pPr>
        <w:pStyle w:val="P68B1DB1-Normal2"/>
        <w:spacing w:after="0" w:line="240" w:lineRule="auto"/>
        <w:ind w:firstLine="567"/>
        <w:jc w:val="both"/>
        <w:rPr>
          <w:lang w:val="en-GB"/>
        </w:rPr>
      </w:pPr>
      <w:r w:rsidRPr="00180B8D">
        <w:rPr>
          <w:lang w:val="en-GB"/>
        </w:rPr>
        <w:t> </w:t>
      </w:r>
    </w:p>
    <w:tbl>
      <w:tblPr>
        <w:tblW w:w="4500" w:type="pct"/>
        <w:jc w:val="center"/>
        <w:tblCellMar>
          <w:top w:w="15" w:type="dxa"/>
          <w:left w:w="15" w:type="dxa"/>
          <w:bottom w:w="15" w:type="dxa"/>
          <w:right w:w="15" w:type="dxa"/>
        </w:tblCellMar>
        <w:tblLook w:val="04A0" w:firstRow="1" w:lastRow="0" w:firstColumn="1" w:lastColumn="0" w:noHBand="0" w:noVBand="1"/>
      </w:tblPr>
      <w:tblGrid>
        <w:gridCol w:w="4866"/>
        <w:gridCol w:w="3554"/>
      </w:tblGrid>
      <w:tr w:rsidR="00657236" w:rsidRPr="00180B8D" w14:paraId="3C7EE958" w14:textId="77777777">
        <w:trPr>
          <w:jc w:val="center"/>
        </w:trPr>
        <w:tc>
          <w:tcPr>
            <w:tcW w:w="500" w:type="pct"/>
            <w:tcBorders>
              <w:top w:val="nil"/>
              <w:left w:val="nil"/>
              <w:bottom w:val="nil"/>
              <w:right w:val="nil"/>
            </w:tcBorders>
            <w:tcMar>
              <w:top w:w="24" w:type="dxa"/>
              <w:left w:w="48" w:type="dxa"/>
              <w:bottom w:w="24" w:type="dxa"/>
              <w:right w:w="48" w:type="dxa"/>
            </w:tcMar>
            <w:hideMark/>
          </w:tcPr>
          <w:p w14:paraId="34B0FC3C" w14:textId="4CDBC0BE" w:rsidR="00657236" w:rsidRPr="00180B8D" w:rsidRDefault="00D655E7">
            <w:pPr>
              <w:pStyle w:val="P68B1DB1-Normal2"/>
              <w:spacing w:after="0" w:line="240" w:lineRule="auto"/>
              <w:rPr>
                <w:lang w:val="en-GB"/>
              </w:rPr>
            </w:pPr>
            <w:r w:rsidRPr="00180B8D">
              <w:rPr>
                <w:noProof/>
                <w:lang w:val="en-GB"/>
              </w:rPr>
              <w:drawing>
                <wp:inline distT="0" distB="0" distL="0" distR="0" wp14:anchorId="2857EC51" wp14:editId="76985402">
                  <wp:extent cx="3019425" cy="638175"/>
                  <wp:effectExtent l="0" t="0" r="9525"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19425" cy="63817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04C96045" w14:textId="77777777" w:rsidR="00657236" w:rsidRPr="00180B8D" w:rsidRDefault="00D655E7">
            <w:pPr>
              <w:pStyle w:val="P68B1DB1-Normal2"/>
              <w:spacing w:after="0" w:line="240" w:lineRule="auto"/>
              <w:rPr>
                <w:lang w:val="en-GB"/>
              </w:rPr>
            </w:pPr>
            <w:r w:rsidRPr="00180B8D">
              <w:rPr>
                <w:lang w:val="en-GB"/>
              </w:rPr>
              <w:br/>
              <w:t>for all risk factors in bucket c.</w:t>
            </w:r>
          </w:p>
        </w:tc>
      </w:tr>
    </w:tbl>
    <w:p w14:paraId="6BCAAA3C" w14:textId="77777777" w:rsidR="00657236" w:rsidRPr="00180B8D" w:rsidRDefault="00D655E7">
      <w:pPr>
        <w:pStyle w:val="P68B1DB1-Normal2"/>
        <w:spacing w:after="0" w:line="240" w:lineRule="auto"/>
        <w:ind w:firstLine="567"/>
        <w:jc w:val="both"/>
        <w:rPr>
          <w:lang w:val="en-GB"/>
        </w:rPr>
      </w:pPr>
      <w:r w:rsidRPr="00180B8D">
        <w:rPr>
          <w:lang w:val="en-GB"/>
        </w:rPr>
        <w:t> </w:t>
      </w:r>
    </w:p>
    <w:p w14:paraId="58F1B4C2" w14:textId="77777777" w:rsidR="00657236" w:rsidRPr="00180B8D" w:rsidRDefault="00D655E7">
      <w:pPr>
        <w:pStyle w:val="P68B1DB1-Normal3"/>
        <w:spacing w:after="0" w:line="240" w:lineRule="auto"/>
        <w:jc w:val="center"/>
        <w:rPr>
          <w:lang w:val="en-GB"/>
        </w:rPr>
      </w:pPr>
      <w:r w:rsidRPr="00180B8D">
        <w:rPr>
          <w:lang w:val="en-GB"/>
        </w:rPr>
        <w:t>Section 4</w:t>
      </w:r>
    </w:p>
    <w:p w14:paraId="4BB06525" w14:textId="77777777" w:rsidR="00657236" w:rsidRPr="00180B8D" w:rsidRDefault="00D655E7">
      <w:pPr>
        <w:pStyle w:val="P68B1DB1-Normal3"/>
        <w:spacing w:after="0" w:line="240" w:lineRule="auto"/>
        <w:jc w:val="center"/>
        <w:rPr>
          <w:lang w:val="en-GB"/>
        </w:rPr>
      </w:pPr>
      <w:r w:rsidRPr="00180B8D">
        <w:rPr>
          <w:lang w:val="en-GB"/>
        </w:rPr>
        <w:t>Interest rate risk factors</w:t>
      </w:r>
    </w:p>
    <w:p w14:paraId="49252125" w14:textId="0FE315A0" w:rsidR="00657236" w:rsidRPr="00180B8D" w:rsidRDefault="00D655E7">
      <w:pPr>
        <w:pStyle w:val="P68B1DB1-Normal2"/>
        <w:spacing w:after="0" w:line="240" w:lineRule="auto"/>
        <w:ind w:firstLine="567"/>
        <w:jc w:val="both"/>
        <w:rPr>
          <w:lang w:val="en-GB"/>
        </w:rPr>
      </w:pPr>
      <w:r w:rsidRPr="00180B8D">
        <w:rPr>
          <w:b/>
          <w:lang w:val="en-GB"/>
        </w:rPr>
        <w:t>41.</w:t>
      </w:r>
      <w:r w:rsidRPr="00180B8D">
        <w:rPr>
          <w:lang w:val="en-GB"/>
        </w:rPr>
        <w:t xml:space="preserve"> </w:t>
      </w:r>
      <w:r w:rsidR="00685F30" w:rsidRPr="00685F30">
        <w:t>For the interest rate delta risk factors, including inflation rate risk, there shall be one bucket per currency, with each bucket containing different types of risk factors</w:t>
      </w:r>
      <w:r w:rsidRPr="00180B8D">
        <w:rPr>
          <w:lang w:val="en-GB"/>
        </w:rPr>
        <w:t>.</w:t>
      </w:r>
    </w:p>
    <w:p w14:paraId="30756714" w14:textId="1A39D84E" w:rsidR="00657236" w:rsidRPr="00180B8D" w:rsidRDefault="00D655E7">
      <w:pPr>
        <w:pStyle w:val="P68B1DB1-Normal2"/>
        <w:spacing w:after="0" w:line="240" w:lineRule="auto"/>
        <w:ind w:firstLine="567"/>
        <w:jc w:val="both"/>
        <w:rPr>
          <w:lang w:val="en-GB"/>
        </w:rPr>
      </w:pPr>
      <w:r w:rsidRPr="00180B8D">
        <w:rPr>
          <w:b/>
          <w:lang w:val="en-GB"/>
        </w:rPr>
        <w:lastRenderedPageBreak/>
        <w:t>42.</w:t>
      </w:r>
      <w:r w:rsidRPr="00180B8D">
        <w:rPr>
          <w:lang w:val="en-GB"/>
        </w:rPr>
        <w:t xml:space="preserve"> </w:t>
      </w:r>
      <w:r w:rsidR="00685F30" w:rsidRPr="00685F30">
        <w:t>The interest rate delta risk factors that are applicable to interest-rate sensitive instruments in the CVA portfolio shall be the risk-free rates per currency concerned and per each of the following maturities: 1 year, 2 years, 5 years, 10 years and 30 years</w:t>
      </w:r>
      <w:r w:rsidRPr="00180B8D">
        <w:rPr>
          <w:lang w:val="en-GB"/>
        </w:rPr>
        <w:t>.</w:t>
      </w:r>
    </w:p>
    <w:p w14:paraId="23002D8E" w14:textId="0E739CC4" w:rsidR="00657236" w:rsidRPr="00180B8D" w:rsidRDefault="00D655E7">
      <w:pPr>
        <w:pStyle w:val="P68B1DB1-Normal2"/>
        <w:spacing w:after="0" w:line="240" w:lineRule="auto"/>
        <w:ind w:firstLine="567"/>
        <w:jc w:val="both"/>
        <w:rPr>
          <w:lang w:val="en-GB"/>
        </w:rPr>
      </w:pPr>
      <w:r w:rsidRPr="00180B8D">
        <w:rPr>
          <w:b/>
          <w:lang w:val="en-GB"/>
        </w:rPr>
        <w:t>43.</w:t>
      </w:r>
      <w:r w:rsidRPr="00180B8D">
        <w:rPr>
          <w:lang w:val="en-GB"/>
        </w:rPr>
        <w:t xml:space="preserve"> </w:t>
      </w:r>
      <w:r w:rsidR="00685F30" w:rsidRPr="00685F30">
        <w:t>The interest rate delta risk factors applicable to inflation-rate sensitive instruments in the CVA portfolio shall be the inflation rates per currency concerned and per each of the following maturities: 1 year, 2 years, 5 years, 10 years and 30 years</w:t>
      </w:r>
      <w:r w:rsidRPr="00180B8D">
        <w:rPr>
          <w:lang w:val="en-GB"/>
        </w:rPr>
        <w:t>.</w:t>
      </w:r>
    </w:p>
    <w:p w14:paraId="58E05868" w14:textId="2D6AE4E2" w:rsidR="00657236" w:rsidRPr="00180B8D" w:rsidRDefault="00D655E7">
      <w:pPr>
        <w:pStyle w:val="P68B1DB1-Normal2"/>
        <w:spacing w:after="0" w:line="240" w:lineRule="auto"/>
        <w:ind w:firstLine="567"/>
        <w:jc w:val="both"/>
        <w:rPr>
          <w:lang w:val="en-GB"/>
        </w:rPr>
      </w:pPr>
      <w:r w:rsidRPr="00180B8D">
        <w:rPr>
          <w:b/>
          <w:lang w:val="en-GB"/>
        </w:rPr>
        <w:t>44.</w:t>
      </w:r>
      <w:r w:rsidRPr="00180B8D">
        <w:rPr>
          <w:lang w:val="en-GB"/>
        </w:rPr>
        <w:t xml:space="preserve"> The currencies for which the </w:t>
      </w:r>
      <w:r w:rsidR="00685F30">
        <w:rPr>
          <w:lang w:val="en-GB"/>
        </w:rPr>
        <w:t>b</w:t>
      </w:r>
      <w:r w:rsidRPr="00180B8D">
        <w:rPr>
          <w:lang w:val="en-GB"/>
        </w:rPr>
        <w:t xml:space="preserve">ank </w:t>
      </w:r>
      <w:r w:rsidR="00685F30">
        <w:rPr>
          <w:lang w:val="en-GB"/>
        </w:rPr>
        <w:t xml:space="preserve">shall </w:t>
      </w:r>
      <w:r w:rsidRPr="00180B8D">
        <w:rPr>
          <w:lang w:val="en-GB"/>
        </w:rPr>
        <w:t>appl</w:t>
      </w:r>
      <w:r w:rsidR="00685F30">
        <w:rPr>
          <w:lang w:val="en-GB"/>
        </w:rPr>
        <w:t>y</w:t>
      </w:r>
      <w:r w:rsidRPr="00180B8D">
        <w:rPr>
          <w:lang w:val="en-GB"/>
        </w:rPr>
        <w:t xml:space="preserve"> </w:t>
      </w:r>
      <w:r w:rsidR="00685F30" w:rsidRPr="00685F30">
        <w:t>the interest rate delta risk factors</w:t>
      </w:r>
      <w:r w:rsidR="00685F30" w:rsidRPr="00685F30">
        <w:rPr>
          <w:lang w:val="en-GB"/>
        </w:rPr>
        <w:t xml:space="preserve"> </w:t>
      </w:r>
      <w:r w:rsidRPr="00180B8D">
        <w:rPr>
          <w:lang w:val="en-GB"/>
        </w:rPr>
        <w:t xml:space="preserve">in accordance with paragraphs 41 to 43 </w:t>
      </w:r>
      <w:r w:rsidR="00685F30">
        <w:rPr>
          <w:lang w:val="en-GB"/>
        </w:rPr>
        <w:t xml:space="preserve">shall be </w:t>
      </w:r>
      <w:r w:rsidRPr="00180B8D">
        <w:rPr>
          <w:lang w:val="en-GB"/>
        </w:rPr>
        <w:t xml:space="preserve">euro, Swedish krona, Australian dollar, Canadian dollar, British pound sterling, Japanese yen and US dollar, the reporting currency of the </w:t>
      </w:r>
      <w:r w:rsidR="00685F30">
        <w:rPr>
          <w:lang w:val="en-GB"/>
        </w:rPr>
        <w:t>b</w:t>
      </w:r>
      <w:r w:rsidRPr="00180B8D">
        <w:rPr>
          <w:lang w:val="en-GB"/>
        </w:rPr>
        <w:t>ank and the currency of a Member State participating in the Exchange Rate Mechanism II (ERM II).</w:t>
      </w:r>
    </w:p>
    <w:p w14:paraId="31AC73FC" w14:textId="4DC14463" w:rsidR="00657236" w:rsidRPr="00180B8D" w:rsidRDefault="00D655E7">
      <w:pPr>
        <w:pStyle w:val="P68B1DB1-Normal2"/>
        <w:spacing w:after="0" w:line="240" w:lineRule="auto"/>
        <w:ind w:firstLine="567"/>
        <w:jc w:val="both"/>
        <w:rPr>
          <w:lang w:val="en-GB"/>
        </w:rPr>
      </w:pPr>
      <w:r w:rsidRPr="00180B8D">
        <w:rPr>
          <w:b/>
          <w:lang w:val="en-GB"/>
        </w:rPr>
        <w:t>45.</w:t>
      </w:r>
      <w:r w:rsidRPr="00180B8D">
        <w:rPr>
          <w:lang w:val="en-GB"/>
        </w:rPr>
        <w:t xml:space="preserve"> For currencies not </w:t>
      </w:r>
      <w:r w:rsidR="00685F30" w:rsidRPr="00685F30">
        <w:t>specified </w:t>
      </w:r>
      <w:r w:rsidRPr="00180B8D">
        <w:rPr>
          <w:lang w:val="en-GB"/>
        </w:rPr>
        <w:t xml:space="preserve">in paragraph 44, </w:t>
      </w:r>
      <w:r w:rsidR="00685F30" w:rsidRPr="00685F30">
        <w:t>the interest rate delta risk factors</w:t>
      </w:r>
      <w:r w:rsidR="00685F30">
        <w:t xml:space="preserve"> </w:t>
      </w:r>
      <w:r w:rsidR="00685F30">
        <w:rPr>
          <w:lang w:val="en-GB"/>
        </w:rPr>
        <w:t xml:space="preserve">shall be </w:t>
      </w:r>
      <w:r w:rsidRPr="00180B8D">
        <w:rPr>
          <w:lang w:val="en-GB"/>
        </w:rPr>
        <w:t xml:space="preserve">the absolute change </w:t>
      </w:r>
      <w:r w:rsidR="00685F30">
        <w:rPr>
          <w:lang w:val="en-GB"/>
        </w:rPr>
        <w:t>of</w:t>
      </w:r>
      <w:r w:rsidRPr="00180B8D">
        <w:rPr>
          <w:lang w:val="en-GB"/>
        </w:rPr>
        <w:t xml:space="preserve"> the inflation rate and the parallel </w:t>
      </w:r>
      <w:r w:rsidR="00685F30" w:rsidRPr="00685F30">
        <w:t>shift</w:t>
      </w:r>
      <w:r w:rsidR="00685F30">
        <w:t xml:space="preserve"> </w:t>
      </w:r>
      <w:r w:rsidRPr="00180B8D">
        <w:rPr>
          <w:lang w:val="en-GB"/>
        </w:rPr>
        <w:t>of the entire risk-free curve for a given currency.</w:t>
      </w:r>
    </w:p>
    <w:p w14:paraId="3FEA5B18" w14:textId="34ADFCD5" w:rsidR="00657236" w:rsidRPr="00180B8D" w:rsidRDefault="00D655E7">
      <w:pPr>
        <w:pStyle w:val="P68B1DB1-Normal2"/>
        <w:spacing w:after="0" w:line="240" w:lineRule="auto"/>
        <w:ind w:firstLine="567"/>
        <w:jc w:val="both"/>
        <w:rPr>
          <w:lang w:val="en-GB"/>
        </w:rPr>
      </w:pPr>
      <w:r w:rsidRPr="00180B8D">
        <w:rPr>
          <w:b/>
          <w:lang w:val="en-GB"/>
        </w:rPr>
        <w:t>46.</w:t>
      </w:r>
      <w:r w:rsidRPr="00180B8D">
        <w:rPr>
          <w:lang w:val="en-GB"/>
        </w:rPr>
        <w:t xml:space="preserve"> Banks </w:t>
      </w:r>
      <w:r w:rsidR="00685F30">
        <w:rPr>
          <w:lang w:val="en-GB"/>
        </w:rPr>
        <w:t xml:space="preserve">shall </w:t>
      </w:r>
      <w:r w:rsidRPr="00180B8D">
        <w:rPr>
          <w:lang w:val="en-GB"/>
        </w:rPr>
        <w:t xml:space="preserve">obtain risk-free rates </w:t>
      </w:r>
      <w:r w:rsidR="00685F30">
        <w:rPr>
          <w:lang w:val="en-GB"/>
        </w:rPr>
        <w:t>per</w:t>
      </w:r>
      <w:r w:rsidRPr="00180B8D">
        <w:rPr>
          <w:lang w:val="en-GB"/>
        </w:rPr>
        <w:t xml:space="preserve"> currency </w:t>
      </w:r>
      <w:r w:rsidR="00685F30">
        <w:rPr>
          <w:lang w:val="en-GB"/>
        </w:rPr>
        <w:t>from</w:t>
      </w:r>
      <w:r w:rsidRPr="00180B8D">
        <w:rPr>
          <w:lang w:val="en-GB"/>
        </w:rPr>
        <w:t xml:space="preserve"> money market instruments held in their trading book that have the lowest credit </w:t>
      </w:r>
      <w:r w:rsidR="00685F30" w:rsidRPr="00180B8D">
        <w:rPr>
          <w:lang w:val="en-GB"/>
        </w:rPr>
        <w:t xml:space="preserve">risk, </w:t>
      </w:r>
      <w:r w:rsidR="00685F30" w:rsidRPr="00685F30">
        <w:t>including overnight index swaps</w:t>
      </w:r>
      <w:r w:rsidRPr="00180B8D">
        <w:rPr>
          <w:lang w:val="en-GB"/>
        </w:rPr>
        <w:t>.</w:t>
      </w:r>
    </w:p>
    <w:p w14:paraId="1CB58BAD" w14:textId="66B8C8A4" w:rsidR="00657236" w:rsidRPr="00180B8D" w:rsidRDefault="00D655E7">
      <w:pPr>
        <w:pStyle w:val="P68B1DB1-Normal2"/>
        <w:spacing w:after="0" w:line="240" w:lineRule="auto"/>
        <w:ind w:firstLine="567"/>
        <w:jc w:val="both"/>
        <w:rPr>
          <w:lang w:val="en-GB"/>
        </w:rPr>
      </w:pPr>
      <w:r w:rsidRPr="00180B8D">
        <w:rPr>
          <w:b/>
          <w:lang w:val="en-GB"/>
        </w:rPr>
        <w:t>47.</w:t>
      </w:r>
      <w:r w:rsidRPr="00180B8D">
        <w:rPr>
          <w:lang w:val="en-GB"/>
        </w:rPr>
        <w:t xml:space="preserve"> </w:t>
      </w:r>
      <w:r w:rsidR="00685F30" w:rsidRPr="00685F30">
        <w:t>Where </w:t>
      </w:r>
      <w:r w:rsidRPr="00180B8D">
        <w:rPr>
          <w:lang w:val="en-GB"/>
        </w:rPr>
        <w:t xml:space="preserve">banks </w:t>
      </w:r>
      <w:r w:rsidR="00685F30" w:rsidRPr="00685F30">
        <w:t>cannot apply the approach</w:t>
      </w:r>
      <w:r w:rsidR="00685F30">
        <w:t xml:space="preserve"> </w:t>
      </w:r>
      <w:r w:rsidRPr="00180B8D">
        <w:rPr>
          <w:lang w:val="en-GB"/>
        </w:rPr>
        <w:t>referred to in paragraph 46, risk-free rates shall be based on one or more market</w:t>
      </w:r>
      <w:r w:rsidR="00685F30">
        <w:rPr>
          <w:lang w:val="en-GB"/>
        </w:rPr>
        <w:t>-</w:t>
      </w:r>
      <w:r w:rsidR="00685F30" w:rsidRPr="00180B8D">
        <w:rPr>
          <w:lang w:val="en-GB"/>
        </w:rPr>
        <w:t xml:space="preserve">implicit </w:t>
      </w:r>
      <w:r w:rsidRPr="00180B8D">
        <w:rPr>
          <w:lang w:val="en-GB"/>
        </w:rPr>
        <w:t xml:space="preserve">swap curves used by banks to mark </w:t>
      </w:r>
      <w:r w:rsidR="00685F30" w:rsidRPr="00180B8D">
        <w:rPr>
          <w:lang w:val="en-GB"/>
        </w:rPr>
        <w:t xml:space="preserve">positions </w:t>
      </w:r>
      <w:r w:rsidR="00685F30">
        <w:rPr>
          <w:lang w:val="en-GB"/>
        </w:rPr>
        <w:t>to</w:t>
      </w:r>
      <w:r w:rsidRPr="00180B8D">
        <w:rPr>
          <w:lang w:val="en-GB"/>
        </w:rPr>
        <w:t xml:space="preserve"> market, such as interbank offered rate swap curves.</w:t>
      </w:r>
    </w:p>
    <w:p w14:paraId="7BBC2B29" w14:textId="253C50C4" w:rsidR="00657236" w:rsidRPr="00180B8D" w:rsidRDefault="00D655E7">
      <w:pPr>
        <w:pStyle w:val="P68B1DB1-Normal2"/>
        <w:spacing w:after="0" w:line="240" w:lineRule="auto"/>
        <w:ind w:firstLine="567"/>
        <w:jc w:val="both"/>
        <w:rPr>
          <w:lang w:val="en-GB"/>
        </w:rPr>
      </w:pPr>
      <w:r w:rsidRPr="00180B8D">
        <w:rPr>
          <w:b/>
          <w:lang w:val="en-GB"/>
        </w:rPr>
        <w:t>48.</w:t>
      </w:r>
      <w:r w:rsidRPr="00180B8D">
        <w:rPr>
          <w:lang w:val="en-GB"/>
        </w:rPr>
        <w:t xml:space="preserve"> </w:t>
      </w:r>
      <w:r w:rsidR="00A64C3E">
        <w:rPr>
          <w:lang w:val="en-GB"/>
        </w:rPr>
        <w:t>Where</w:t>
      </w:r>
      <w:r w:rsidRPr="00180B8D">
        <w:rPr>
          <w:lang w:val="en-GB"/>
        </w:rPr>
        <w:t xml:space="preserve"> the data on market</w:t>
      </w:r>
      <w:r w:rsidR="00A64C3E">
        <w:rPr>
          <w:lang w:val="en-GB"/>
        </w:rPr>
        <w:t>-</w:t>
      </w:r>
      <w:r w:rsidR="00A64C3E" w:rsidRPr="00180B8D">
        <w:rPr>
          <w:lang w:val="en-GB"/>
        </w:rPr>
        <w:t xml:space="preserve">implicit </w:t>
      </w:r>
      <w:r w:rsidRPr="00180B8D">
        <w:rPr>
          <w:lang w:val="en-GB"/>
        </w:rPr>
        <w:t xml:space="preserve">swap curves described in paragraph 41 are insufficient, </w:t>
      </w:r>
      <w:r w:rsidR="00A64C3E">
        <w:rPr>
          <w:lang w:val="en-GB"/>
        </w:rPr>
        <w:t xml:space="preserve">the </w:t>
      </w:r>
      <w:r w:rsidRPr="00180B8D">
        <w:rPr>
          <w:lang w:val="en-GB"/>
        </w:rPr>
        <w:t xml:space="preserve">risk-free rates may be </w:t>
      </w:r>
      <w:r w:rsidR="00A64C3E" w:rsidRPr="00A64C3E">
        <w:t>derived </w:t>
      </w:r>
      <w:r w:rsidRPr="00180B8D">
        <w:rPr>
          <w:lang w:val="en-GB"/>
        </w:rPr>
        <w:t xml:space="preserve">from the most appropriate sovereign bond </w:t>
      </w:r>
      <w:r w:rsidRPr="00180B8D">
        <w:rPr>
          <w:lang w:val="en-GB"/>
        </w:rPr>
        <w:t>curve for a given currency.</w:t>
      </w:r>
    </w:p>
    <w:p w14:paraId="7CD0B063" w14:textId="5979E048" w:rsidR="00657236" w:rsidRPr="00180B8D" w:rsidRDefault="00D655E7">
      <w:pPr>
        <w:pStyle w:val="P68B1DB1-Normal2"/>
        <w:spacing w:after="0" w:line="240" w:lineRule="auto"/>
        <w:ind w:firstLine="567"/>
        <w:jc w:val="both"/>
        <w:rPr>
          <w:lang w:val="en-GB"/>
        </w:rPr>
      </w:pPr>
      <w:r w:rsidRPr="00180B8D">
        <w:rPr>
          <w:b/>
          <w:lang w:val="en-GB"/>
        </w:rPr>
        <w:t>49.</w:t>
      </w:r>
      <w:r w:rsidRPr="00180B8D">
        <w:rPr>
          <w:lang w:val="en-GB"/>
        </w:rPr>
        <w:t xml:space="preserve"> The </w:t>
      </w:r>
      <w:r w:rsidR="00601AA8" w:rsidRPr="00180B8D">
        <w:rPr>
          <w:lang w:val="en-GB"/>
        </w:rPr>
        <w:t xml:space="preserve">interest rate </w:t>
      </w:r>
      <w:proofErr w:type="spellStart"/>
      <w:r w:rsidRPr="00180B8D">
        <w:rPr>
          <w:lang w:val="en-GB"/>
        </w:rPr>
        <w:t>vega</w:t>
      </w:r>
      <w:proofErr w:type="spellEnd"/>
      <w:r w:rsidRPr="00180B8D">
        <w:rPr>
          <w:lang w:val="en-GB"/>
        </w:rPr>
        <w:t xml:space="preserve"> risk factor applicable to instruments in the CVA portfolio sensitive to interest rate volatility shall be all </w:t>
      </w:r>
      <w:r w:rsidR="00601AA8">
        <w:rPr>
          <w:lang w:val="en-GB"/>
        </w:rPr>
        <w:t>the</w:t>
      </w:r>
      <w:r w:rsidRPr="00180B8D">
        <w:rPr>
          <w:lang w:val="en-GB"/>
        </w:rPr>
        <w:t xml:space="preserve"> volatilities</w:t>
      </w:r>
      <w:r w:rsidR="00601AA8">
        <w:rPr>
          <w:lang w:val="en-GB"/>
        </w:rPr>
        <w:t xml:space="preserve"> of the interest rate</w:t>
      </w:r>
      <w:r w:rsidRPr="00180B8D">
        <w:rPr>
          <w:lang w:val="en-GB"/>
        </w:rPr>
        <w:t xml:space="preserve"> </w:t>
      </w:r>
      <w:r w:rsidR="00601AA8">
        <w:rPr>
          <w:lang w:val="en-GB"/>
        </w:rPr>
        <w:t>of</w:t>
      </w:r>
      <w:r w:rsidRPr="00180B8D">
        <w:rPr>
          <w:lang w:val="en-GB"/>
        </w:rPr>
        <w:t xml:space="preserve"> all </w:t>
      </w:r>
      <w:r w:rsidR="00601AA8">
        <w:rPr>
          <w:lang w:val="en-GB"/>
        </w:rPr>
        <w:t>tenors</w:t>
      </w:r>
      <w:r w:rsidRPr="00180B8D">
        <w:rPr>
          <w:lang w:val="en-GB"/>
        </w:rPr>
        <w:t xml:space="preserve"> for a given currency. The inflation rate </w:t>
      </w:r>
      <w:proofErr w:type="spellStart"/>
      <w:r w:rsidR="00601AA8" w:rsidRPr="00180B8D">
        <w:rPr>
          <w:lang w:val="en-GB"/>
        </w:rPr>
        <w:t>vega</w:t>
      </w:r>
      <w:proofErr w:type="spellEnd"/>
      <w:r w:rsidR="00601AA8" w:rsidRPr="00180B8D">
        <w:rPr>
          <w:lang w:val="en-GB"/>
        </w:rPr>
        <w:t xml:space="preserve"> </w:t>
      </w:r>
      <w:r w:rsidRPr="00180B8D">
        <w:rPr>
          <w:lang w:val="en-GB"/>
        </w:rPr>
        <w:t>risk factor applicable to instruments in the CVA portfolio</w:t>
      </w:r>
      <w:r w:rsidR="00601AA8">
        <w:rPr>
          <w:lang w:val="en-GB"/>
        </w:rPr>
        <w:t xml:space="preserve"> </w:t>
      </w:r>
      <w:r w:rsidRPr="00180B8D">
        <w:rPr>
          <w:lang w:val="en-GB"/>
        </w:rPr>
        <w:t xml:space="preserve">sensitive to inflation rate volatility </w:t>
      </w:r>
      <w:r w:rsidR="00601AA8">
        <w:rPr>
          <w:lang w:val="en-GB"/>
        </w:rPr>
        <w:t xml:space="preserve">shall be all the </w:t>
      </w:r>
      <w:r w:rsidR="00601AA8" w:rsidRPr="00180B8D">
        <w:rPr>
          <w:lang w:val="en-GB"/>
        </w:rPr>
        <w:t>volatilit</w:t>
      </w:r>
      <w:r w:rsidR="00601AA8">
        <w:rPr>
          <w:lang w:val="en-GB"/>
        </w:rPr>
        <w:t>ies of the</w:t>
      </w:r>
      <w:r w:rsidR="00601AA8" w:rsidRPr="00180B8D">
        <w:rPr>
          <w:lang w:val="en-GB"/>
        </w:rPr>
        <w:t xml:space="preserve"> </w:t>
      </w:r>
      <w:r w:rsidRPr="00180B8D">
        <w:rPr>
          <w:lang w:val="en-GB"/>
        </w:rPr>
        <w:t xml:space="preserve">inflation rate </w:t>
      </w:r>
      <w:r w:rsidR="00601AA8">
        <w:rPr>
          <w:lang w:val="en-GB"/>
        </w:rPr>
        <w:t>of</w:t>
      </w:r>
      <w:r w:rsidRPr="00180B8D">
        <w:rPr>
          <w:lang w:val="en-GB"/>
        </w:rPr>
        <w:t xml:space="preserve"> all </w:t>
      </w:r>
      <w:r w:rsidR="00601AA8">
        <w:rPr>
          <w:lang w:val="en-GB"/>
        </w:rPr>
        <w:t>tenors</w:t>
      </w:r>
      <w:r w:rsidRPr="00180B8D">
        <w:rPr>
          <w:lang w:val="en-GB"/>
        </w:rPr>
        <w:t xml:space="preserve"> for a given currency. There </w:t>
      </w:r>
      <w:r w:rsidR="00601AA8">
        <w:rPr>
          <w:lang w:val="en-GB"/>
        </w:rPr>
        <w:t>shall be</w:t>
      </w:r>
      <w:r w:rsidRPr="00180B8D">
        <w:rPr>
          <w:lang w:val="en-GB"/>
        </w:rPr>
        <w:t xml:space="preserve"> one net interest rate sensitivity and one net inflation rate sensitivity </w:t>
      </w:r>
      <w:r w:rsidR="00601AA8">
        <w:rPr>
          <w:lang w:val="en-GB"/>
        </w:rPr>
        <w:t>computed</w:t>
      </w:r>
      <w:r w:rsidRPr="00180B8D">
        <w:rPr>
          <w:lang w:val="en-GB"/>
        </w:rPr>
        <w:t xml:space="preserve"> for each currency.</w:t>
      </w:r>
    </w:p>
    <w:p w14:paraId="6D0BC6C4" w14:textId="77777777" w:rsidR="00657236" w:rsidRPr="00351221" w:rsidRDefault="00D655E7">
      <w:pPr>
        <w:pStyle w:val="P68B1DB1-Normal3"/>
        <w:spacing w:after="0" w:line="240" w:lineRule="auto"/>
        <w:jc w:val="center"/>
        <w:rPr>
          <w:lang w:val="en-GB"/>
        </w:rPr>
      </w:pPr>
      <w:r w:rsidRPr="00351221">
        <w:rPr>
          <w:lang w:val="en-GB"/>
        </w:rPr>
        <w:t>Section 5</w:t>
      </w:r>
    </w:p>
    <w:p w14:paraId="77D53055" w14:textId="77777777" w:rsidR="00657236" w:rsidRPr="00351221" w:rsidRDefault="00D655E7">
      <w:pPr>
        <w:pStyle w:val="P68B1DB1-Normal3"/>
        <w:spacing w:after="0" w:line="240" w:lineRule="auto"/>
        <w:jc w:val="center"/>
        <w:rPr>
          <w:lang w:val="en-GB"/>
        </w:rPr>
      </w:pPr>
      <w:r w:rsidRPr="00351221">
        <w:rPr>
          <w:lang w:val="en-GB"/>
        </w:rPr>
        <w:t>Foreign exchange risk factors</w:t>
      </w:r>
    </w:p>
    <w:p w14:paraId="48AC12B5" w14:textId="1FDF5BAC" w:rsidR="00657236" w:rsidRPr="00180B8D" w:rsidRDefault="00D655E7">
      <w:pPr>
        <w:pStyle w:val="P68B1DB1-Normal2"/>
        <w:spacing w:after="0" w:line="240" w:lineRule="auto"/>
        <w:ind w:firstLine="567"/>
        <w:jc w:val="both"/>
        <w:rPr>
          <w:lang w:val="en-GB"/>
        </w:rPr>
      </w:pPr>
      <w:r w:rsidRPr="00180B8D">
        <w:rPr>
          <w:b/>
          <w:lang w:val="en-GB"/>
        </w:rPr>
        <w:t>50.</w:t>
      </w:r>
      <w:r w:rsidRPr="00180B8D">
        <w:rPr>
          <w:lang w:val="en-GB"/>
        </w:rPr>
        <w:t xml:space="preserve"> The foreign exchange delta risk factors to be applied by banks to instruments in the CVA portfolio sensitive to foreign exchange spot rates </w:t>
      </w:r>
      <w:r w:rsidR="00D251B0">
        <w:rPr>
          <w:lang w:val="en-GB"/>
        </w:rPr>
        <w:t>shall be</w:t>
      </w:r>
      <w:r w:rsidRPr="00180B8D">
        <w:rPr>
          <w:lang w:val="en-GB"/>
        </w:rPr>
        <w:t xml:space="preserve"> </w:t>
      </w:r>
      <w:r w:rsidR="00D251B0">
        <w:rPr>
          <w:lang w:val="en-GB"/>
        </w:rPr>
        <w:t xml:space="preserve">the </w:t>
      </w:r>
      <w:r w:rsidR="00D251B0" w:rsidRPr="00180B8D">
        <w:rPr>
          <w:lang w:val="en-GB"/>
        </w:rPr>
        <w:t xml:space="preserve">spot </w:t>
      </w:r>
      <w:r w:rsidRPr="00180B8D">
        <w:rPr>
          <w:lang w:val="en-GB"/>
        </w:rPr>
        <w:t xml:space="preserve">foreign exchange rates between the currency in which an instrument is denominated and the bank’s reporting currency or the bank’s base currency, </w:t>
      </w:r>
      <w:r w:rsidR="00D251B0">
        <w:rPr>
          <w:lang w:val="en-GB"/>
        </w:rPr>
        <w:t>where</w:t>
      </w:r>
      <w:r w:rsidRPr="00180B8D">
        <w:rPr>
          <w:lang w:val="en-GB"/>
        </w:rPr>
        <w:t xml:space="preserve"> the bank </w:t>
      </w:r>
      <w:r w:rsidR="00D251B0">
        <w:rPr>
          <w:lang w:val="en-GB"/>
        </w:rPr>
        <w:t>is using</w:t>
      </w:r>
      <w:r w:rsidRPr="00180B8D">
        <w:rPr>
          <w:lang w:val="en-GB"/>
        </w:rPr>
        <w:t xml:space="preserve"> a base currency in accordance with the regulatory provisions for the </w:t>
      </w:r>
      <w:r w:rsidRPr="00351221">
        <w:rPr>
          <w:lang w:val="en-GB"/>
        </w:rPr>
        <w:t xml:space="preserve">treatment of market risk under the </w:t>
      </w:r>
      <w:r w:rsidR="00D251B0" w:rsidRPr="00351221">
        <w:rPr>
          <w:lang w:val="en-GB"/>
        </w:rPr>
        <w:t>s</w:t>
      </w:r>
      <w:r w:rsidRPr="00351221">
        <w:rPr>
          <w:lang w:val="en-GB"/>
        </w:rPr>
        <w:t xml:space="preserve">tandardised </w:t>
      </w:r>
      <w:r w:rsidR="00D251B0" w:rsidRPr="00351221">
        <w:rPr>
          <w:lang w:val="en-GB"/>
        </w:rPr>
        <w:t>a</w:t>
      </w:r>
      <w:r w:rsidRPr="00351221">
        <w:rPr>
          <w:lang w:val="en-GB"/>
        </w:rPr>
        <w:t>pproach</w:t>
      </w:r>
      <w:r w:rsidRPr="00180B8D">
        <w:rPr>
          <w:lang w:val="en-GB"/>
        </w:rPr>
        <w:t xml:space="preserve">. </w:t>
      </w:r>
      <w:r w:rsidR="00351221" w:rsidRPr="00351221">
        <w:t>There shall be one bucket per currency pair, containing a single risk factor and a single net sensitivity</w:t>
      </w:r>
      <w:r w:rsidRPr="00180B8D">
        <w:rPr>
          <w:lang w:val="en-GB"/>
        </w:rPr>
        <w:t>.</w:t>
      </w:r>
    </w:p>
    <w:p w14:paraId="0C567DE7" w14:textId="2CD718C0" w:rsidR="00657236" w:rsidRPr="00180B8D" w:rsidRDefault="00D655E7">
      <w:pPr>
        <w:pStyle w:val="P68B1DB1-Normal2"/>
        <w:spacing w:after="0" w:line="240" w:lineRule="auto"/>
        <w:ind w:firstLine="567"/>
        <w:jc w:val="both"/>
        <w:rPr>
          <w:lang w:val="en-GB"/>
        </w:rPr>
      </w:pPr>
      <w:r w:rsidRPr="00180B8D">
        <w:rPr>
          <w:b/>
          <w:lang w:val="en-GB"/>
        </w:rPr>
        <w:t>51.</w:t>
      </w:r>
      <w:r w:rsidRPr="00180B8D">
        <w:rPr>
          <w:lang w:val="en-GB"/>
        </w:rPr>
        <w:t xml:space="preserve"> The foreign exchange </w:t>
      </w:r>
      <w:proofErr w:type="spellStart"/>
      <w:r w:rsidRPr="00180B8D">
        <w:rPr>
          <w:lang w:val="en-GB"/>
        </w:rPr>
        <w:t>vega</w:t>
      </w:r>
      <w:proofErr w:type="spellEnd"/>
      <w:r w:rsidRPr="00180B8D">
        <w:rPr>
          <w:lang w:val="en-GB"/>
        </w:rPr>
        <w:t xml:space="preserve"> risk factors to be applied by banks to instruments in the CVA portfolio sensitive to foreign exchange volatility </w:t>
      </w:r>
      <w:r w:rsidR="00351221">
        <w:rPr>
          <w:lang w:val="en-GB"/>
        </w:rPr>
        <w:t xml:space="preserve">shall be </w:t>
      </w:r>
      <w:r w:rsidRPr="00180B8D">
        <w:rPr>
          <w:lang w:val="en-GB"/>
        </w:rPr>
        <w:t xml:space="preserve">the implied </w:t>
      </w:r>
      <w:r w:rsidR="00351221" w:rsidRPr="00180B8D">
        <w:rPr>
          <w:lang w:val="en-GB"/>
        </w:rPr>
        <w:t xml:space="preserve">volatilities </w:t>
      </w:r>
      <w:r w:rsidR="00351221">
        <w:rPr>
          <w:lang w:val="en-GB"/>
        </w:rPr>
        <w:t xml:space="preserve">of </w:t>
      </w:r>
      <w:r w:rsidRPr="00180B8D">
        <w:rPr>
          <w:lang w:val="en-GB"/>
        </w:rPr>
        <w:t>foreign exchange rate</w:t>
      </w:r>
      <w:r w:rsidR="00351221">
        <w:rPr>
          <w:lang w:val="en-GB"/>
        </w:rPr>
        <w:t>s</w:t>
      </w:r>
      <w:r w:rsidRPr="00180B8D">
        <w:rPr>
          <w:lang w:val="en-GB"/>
        </w:rPr>
        <w:t xml:space="preserve"> between the currency pairs referred to in paragraph 50. There </w:t>
      </w:r>
      <w:r w:rsidR="00351221">
        <w:rPr>
          <w:lang w:val="en-GB"/>
        </w:rPr>
        <w:t>shall be</w:t>
      </w:r>
      <w:r w:rsidRPr="00180B8D">
        <w:rPr>
          <w:lang w:val="en-GB"/>
        </w:rPr>
        <w:t xml:space="preserve"> </w:t>
      </w:r>
      <w:r w:rsidR="00351221">
        <w:rPr>
          <w:lang w:val="en-GB"/>
        </w:rPr>
        <w:t>one</w:t>
      </w:r>
      <w:r w:rsidRPr="00180B8D">
        <w:rPr>
          <w:lang w:val="en-GB"/>
        </w:rPr>
        <w:t xml:space="preserve"> bucket for all currencies and maturities, </w:t>
      </w:r>
      <w:r w:rsidR="00351221" w:rsidRPr="00351221">
        <w:t>containing all</w:t>
      </w:r>
      <w:r w:rsidRPr="00180B8D">
        <w:rPr>
          <w:lang w:val="en-GB"/>
        </w:rPr>
        <w:t xml:space="preserve"> </w:t>
      </w:r>
      <w:r w:rsidR="00351221" w:rsidRPr="00180B8D">
        <w:rPr>
          <w:lang w:val="en-GB"/>
        </w:rPr>
        <w:t xml:space="preserve">foreign exchange </w:t>
      </w:r>
      <w:proofErr w:type="spellStart"/>
      <w:r w:rsidRPr="00180B8D">
        <w:rPr>
          <w:lang w:val="en-GB"/>
        </w:rPr>
        <w:t>vega</w:t>
      </w:r>
      <w:proofErr w:type="spellEnd"/>
      <w:r w:rsidRPr="00180B8D">
        <w:rPr>
          <w:lang w:val="en-GB"/>
        </w:rPr>
        <w:t xml:space="preserve"> risk factors and a single net sensitivity.</w:t>
      </w:r>
    </w:p>
    <w:p w14:paraId="6D28B9B8" w14:textId="71CD977F" w:rsidR="00657236" w:rsidRPr="00180B8D" w:rsidRDefault="00D655E7">
      <w:pPr>
        <w:pStyle w:val="P68B1DB1-Normal2"/>
        <w:spacing w:after="0" w:line="240" w:lineRule="auto"/>
        <w:ind w:firstLine="567"/>
        <w:jc w:val="both"/>
        <w:rPr>
          <w:lang w:val="en-GB"/>
        </w:rPr>
      </w:pPr>
      <w:r w:rsidRPr="00180B8D">
        <w:rPr>
          <w:b/>
          <w:lang w:val="en-GB"/>
        </w:rPr>
        <w:t>52.</w:t>
      </w:r>
      <w:r w:rsidRPr="00180B8D">
        <w:rPr>
          <w:lang w:val="en-GB"/>
        </w:rPr>
        <w:t xml:space="preserve"> Banks </w:t>
      </w:r>
      <w:r w:rsidR="00351221">
        <w:rPr>
          <w:lang w:val="en-GB"/>
        </w:rPr>
        <w:t>shall</w:t>
      </w:r>
      <w:r w:rsidRPr="00180B8D">
        <w:rPr>
          <w:lang w:val="en-GB"/>
        </w:rPr>
        <w:t xml:space="preserve"> not</w:t>
      </w:r>
      <w:r w:rsidR="00351221">
        <w:rPr>
          <w:lang w:val="en-GB"/>
        </w:rPr>
        <w:t xml:space="preserve"> be</w:t>
      </w:r>
      <w:r w:rsidRPr="00180B8D">
        <w:rPr>
          <w:lang w:val="en-GB"/>
        </w:rPr>
        <w:t xml:space="preserve"> </w:t>
      </w:r>
      <w:r w:rsidR="00351221" w:rsidRPr="00351221">
        <w:t>required </w:t>
      </w:r>
      <w:r w:rsidRPr="00180B8D">
        <w:rPr>
          <w:lang w:val="en-GB"/>
        </w:rPr>
        <w:t xml:space="preserve">to distinguish between </w:t>
      </w:r>
      <w:r w:rsidRPr="00180B8D">
        <w:rPr>
          <w:i/>
          <w:lang w:val="en-GB"/>
        </w:rPr>
        <w:t>onshore</w:t>
      </w:r>
      <w:r w:rsidRPr="00180B8D">
        <w:rPr>
          <w:lang w:val="en-GB"/>
        </w:rPr>
        <w:t xml:space="preserve"> (domestic) and </w:t>
      </w:r>
      <w:r w:rsidRPr="00180B8D">
        <w:rPr>
          <w:i/>
          <w:lang w:val="en-GB"/>
        </w:rPr>
        <w:t>offshore</w:t>
      </w:r>
      <w:r w:rsidRPr="00180B8D">
        <w:rPr>
          <w:lang w:val="en-GB"/>
        </w:rPr>
        <w:t xml:space="preserve"> (international) </w:t>
      </w:r>
      <w:r w:rsidR="00351221" w:rsidRPr="00180B8D">
        <w:rPr>
          <w:lang w:val="en-GB"/>
        </w:rPr>
        <w:t>variants</w:t>
      </w:r>
      <w:r w:rsidR="00351221">
        <w:rPr>
          <w:lang w:val="en-GB"/>
        </w:rPr>
        <w:t xml:space="preserve"> of a</w:t>
      </w:r>
      <w:r w:rsidR="00351221" w:rsidRPr="00180B8D">
        <w:rPr>
          <w:lang w:val="en-GB"/>
        </w:rPr>
        <w:t xml:space="preserve"> </w:t>
      </w:r>
      <w:r w:rsidRPr="00180B8D">
        <w:rPr>
          <w:lang w:val="en-GB"/>
        </w:rPr>
        <w:t xml:space="preserve">currency for foreign exchange delta and </w:t>
      </w:r>
      <w:proofErr w:type="spellStart"/>
      <w:r w:rsidRPr="00180B8D">
        <w:rPr>
          <w:lang w:val="en-GB"/>
        </w:rPr>
        <w:t>vega</w:t>
      </w:r>
      <w:proofErr w:type="spellEnd"/>
      <w:r w:rsidRPr="00180B8D">
        <w:rPr>
          <w:lang w:val="en-GB"/>
        </w:rPr>
        <w:t xml:space="preserve"> risk factors.</w:t>
      </w:r>
    </w:p>
    <w:p w14:paraId="4E69A787" w14:textId="77777777" w:rsidR="00657236" w:rsidRPr="00180B8D" w:rsidRDefault="00D655E7">
      <w:pPr>
        <w:pStyle w:val="P68B1DB1-Normal2"/>
        <w:spacing w:after="0" w:line="240" w:lineRule="auto"/>
        <w:ind w:firstLine="567"/>
        <w:jc w:val="both"/>
        <w:rPr>
          <w:lang w:val="en-GB"/>
        </w:rPr>
      </w:pPr>
      <w:r w:rsidRPr="00180B8D">
        <w:rPr>
          <w:lang w:val="en-GB"/>
        </w:rPr>
        <w:t> </w:t>
      </w:r>
    </w:p>
    <w:p w14:paraId="464CBE3C" w14:textId="77777777" w:rsidR="00657236" w:rsidRPr="00180B8D" w:rsidRDefault="00D655E7">
      <w:pPr>
        <w:pStyle w:val="P68B1DB1-Normal3"/>
        <w:spacing w:after="0" w:line="240" w:lineRule="auto"/>
        <w:jc w:val="center"/>
        <w:rPr>
          <w:lang w:val="en-GB"/>
        </w:rPr>
      </w:pPr>
      <w:r w:rsidRPr="00180B8D">
        <w:rPr>
          <w:lang w:val="en-GB"/>
        </w:rPr>
        <w:t>Section 6</w:t>
      </w:r>
    </w:p>
    <w:p w14:paraId="092AD59F" w14:textId="77777777" w:rsidR="00657236" w:rsidRPr="00180B8D" w:rsidRDefault="00D655E7">
      <w:pPr>
        <w:pStyle w:val="P68B1DB1-Normal3"/>
        <w:spacing w:after="0" w:line="240" w:lineRule="auto"/>
        <w:jc w:val="center"/>
        <w:rPr>
          <w:lang w:val="en-GB"/>
        </w:rPr>
      </w:pPr>
      <w:r w:rsidRPr="00180B8D">
        <w:rPr>
          <w:lang w:val="en-GB"/>
        </w:rPr>
        <w:t>Counterparty credit spread risk factors</w:t>
      </w:r>
    </w:p>
    <w:p w14:paraId="4B51F5B9" w14:textId="3516866C" w:rsidR="00657236" w:rsidRPr="00180B8D" w:rsidRDefault="00D655E7">
      <w:pPr>
        <w:pStyle w:val="P68B1DB1-Normal2"/>
        <w:spacing w:after="0" w:line="240" w:lineRule="auto"/>
        <w:ind w:firstLine="567"/>
        <w:jc w:val="both"/>
        <w:rPr>
          <w:lang w:val="en-GB"/>
        </w:rPr>
      </w:pPr>
      <w:r w:rsidRPr="00180B8D">
        <w:rPr>
          <w:b/>
          <w:lang w:val="en-GB"/>
        </w:rPr>
        <w:t>53.</w:t>
      </w:r>
      <w:r w:rsidRPr="00180B8D">
        <w:rPr>
          <w:lang w:val="en-GB"/>
        </w:rPr>
        <w:t xml:space="preserve"> The </w:t>
      </w:r>
      <w:r w:rsidR="00E809E2" w:rsidRPr="00E809E2">
        <w:t>counterparty credit spread delta risk factors</w:t>
      </w:r>
      <w:r w:rsidR="00E809E2">
        <w:t xml:space="preserve"> </w:t>
      </w:r>
      <w:r w:rsidRPr="00180B8D">
        <w:rPr>
          <w:lang w:val="en-GB"/>
        </w:rPr>
        <w:t xml:space="preserve">applicable to </w:t>
      </w:r>
      <w:r w:rsidR="00E809E2" w:rsidRPr="00E809E2">
        <w:t>counterparty </w:t>
      </w:r>
      <w:r w:rsidR="00E809E2">
        <w:t xml:space="preserve">credit </w:t>
      </w:r>
      <w:r w:rsidRPr="00180B8D">
        <w:rPr>
          <w:lang w:val="en-GB"/>
        </w:rPr>
        <w:t xml:space="preserve">spread sensitive instruments in the CVA portfolio </w:t>
      </w:r>
      <w:r w:rsidR="00E809E2">
        <w:rPr>
          <w:lang w:val="en-GB"/>
        </w:rPr>
        <w:t>shall be</w:t>
      </w:r>
      <w:r w:rsidRPr="00180B8D">
        <w:rPr>
          <w:lang w:val="en-GB"/>
        </w:rPr>
        <w:t xml:space="preserve"> the credit spreads of individual counterparties</w:t>
      </w:r>
      <w:r w:rsidR="00E809E2">
        <w:rPr>
          <w:lang w:val="en-GB"/>
        </w:rPr>
        <w:t xml:space="preserve"> and </w:t>
      </w:r>
      <w:r w:rsidRPr="00180B8D">
        <w:rPr>
          <w:lang w:val="en-GB"/>
        </w:rPr>
        <w:t>reference names and qualified indices for the following maturities: 0</w:t>
      </w:r>
      <w:r w:rsidR="00E809E2">
        <w:rPr>
          <w:lang w:val="en-GB"/>
        </w:rPr>
        <w:t>,</w:t>
      </w:r>
      <w:r w:rsidRPr="00180B8D">
        <w:rPr>
          <w:lang w:val="en-GB"/>
        </w:rPr>
        <w:t>5 years, 1 year, 3 years, 5 years and 10 years.</w:t>
      </w:r>
    </w:p>
    <w:p w14:paraId="224CA68E" w14:textId="0857A345" w:rsidR="00657236" w:rsidRPr="00180B8D" w:rsidRDefault="00D655E7">
      <w:pPr>
        <w:pStyle w:val="P68B1DB1-Normal2"/>
        <w:spacing w:after="0" w:line="240" w:lineRule="auto"/>
        <w:ind w:firstLine="567"/>
        <w:jc w:val="both"/>
        <w:rPr>
          <w:lang w:val="en-GB"/>
        </w:rPr>
      </w:pPr>
      <w:r w:rsidRPr="00180B8D">
        <w:rPr>
          <w:b/>
          <w:lang w:val="en-GB"/>
        </w:rPr>
        <w:t>54.</w:t>
      </w:r>
      <w:r w:rsidRPr="00180B8D">
        <w:rPr>
          <w:lang w:val="en-GB"/>
        </w:rPr>
        <w:t xml:space="preserve"> The counterparty credit spread risk class </w:t>
      </w:r>
      <w:r w:rsidR="00E809E2">
        <w:rPr>
          <w:lang w:val="en-GB"/>
        </w:rPr>
        <w:t>shall</w:t>
      </w:r>
      <w:r w:rsidRPr="00180B8D">
        <w:rPr>
          <w:lang w:val="en-GB"/>
        </w:rPr>
        <w:t xml:space="preserve"> not </w:t>
      </w:r>
      <w:r w:rsidR="00E809E2">
        <w:rPr>
          <w:lang w:val="en-GB"/>
        </w:rPr>
        <w:t xml:space="preserve">be </w:t>
      </w:r>
      <w:r w:rsidRPr="00180B8D">
        <w:rPr>
          <w:lang w:val="en-GB"/>
        </w:rPr>
        <w:t xml:space="preserve">subject to </w:t>
      </w:r>
      <w:proofErr w:type="spellStart"/>
      <w:r w:rsidRPr="00180B8D">
        <w:rPr>
          <w:lang w:val="en-GB"/>
        </w:rPr>
        <w:t>vega</w:t>
      </w:r>
      <w:proofErr w:type="spellEnd"/>
      <w:r w:rsidR="00E809E2">
        <w:rPr>
          <w:lang w:val="en-GB"/>
        </w:rPr>
        <w:t xml:space="preserve"> </w:t>
      </w:r>
      <w:r w:rsidR="00E809E2" w:rsidRPr="00E809E2">
        <w:t>risk own funds requirements</w:t>
      </w:r>
      <w:r w:rsidRPr="00180B8D">
        <w:rPr>
          <w:lang w:val="en-GB"/>
        </w:rPr>
        <w:t>.</w:t>
      </w:r>
    </w:p>
    <w:p w14:paraId="719E6216" w14:textId="77777777" w:rsidR="00657236" w:rsidRPr="00180B8D" w:rsidRDefault="00D655E7">
      <w:pPr>
        <w:pStyle w:val="P68B1DB1-Normal3"/>
        <w:spacing w:after="0" w:line="240" w:lineRule="auto"/>
        <w:jc w:val="center"/>
        <w:rPr>
          <w:lang w:val="en-GB"/>
        </w:rPr>
      </w:pPr>
      <w:r w:rsidRPr="00180B8D">
        <w:rPr>
          <w:lang w:val="en-GB"/>
        </w:rPr>
        <w:t>Section 7</w:t>
      </w:r>
    </w:p>
    <w:p w14:paraId="6425D14A" w14:textId="77777777" w:rsidR="00657236" w:rsidRPr="00180B8D" w:rsidRDefault="00D655E7">
      <w:pPr>
        <w:pStyle w:val="P68B1DB1-Normal3"/>
        <w:spacing w:after="0" w:line="240" w:lineRule="auto"/>
        <w:jc w:val="center"/>
        <w:rPr>
          <w:lang w:val="en-GB"/>
        </w:rPr>
      </w:pPr>
      <w:r w:rsidRPr="00180B8D">
        <w:rPr>
          <w:lang w:val="en-GB"/>
        </w:rPr>
        <w:lastRenderedPageBreak/>
        <w:t>Reference credit spread risk factors</w:t>
      </w:r>
    </w:p>
    <w:p w14:paraId="19DAE1EC" w14:textId="1F65BC1A" w:rsidR="00657236" w:rsidRPr="00180B8D" w:rsidRDefault="00D655E7">
      <w:pPr>
        <w:pStyle w:val="P68B1DB1-Normal2"/>
        <w:spacing w:after="0" w:line="240" w:lineRule="auto"/>
        <w:ind w:firstLine="567"/>
        <w:jc w:val="both"/>
        <w:rPr>
          <w:lang w:val="en-GB"/>
        </w:rPr>
      </w:pPr>
      <w:r w:rsidRPr="00180B8D">
        <w:rPr>
          <w:b/>
          <w:lang w:val="en-GB"/>
        </w:rPr>
        <w:t>55.</w:t>
      </w:r>
      <w:r w:rsidRPr="00180B8D">
        <w:rPr>
          <w:lang w:val="en-GB"/>
        </w:rPr>
        <w:t xml:space="preserve"> The </w:t>
      </w:r>
      <w:r w:rsidR="00607398" w:rsidRPr="00180B8D">
        <w:rPr>
          <w:lang w:val="en-GB"/>
        </w:rPr>
        <w:t xml:space="preserve">reference </w:t>
      </w:r>
      <w:r w:rsidRPr="00180B8D">
        <w:rPr>
          <w:lang w:val="en-GB"/>
        </w:rPr>
        <w:t xml:space="preserve">credit spread </w:t>
      </w:r>
      <w:r w:rsidR="00607398" w:rsidRPr="00180B8D">
        <w:rPr>
          <w:lang w:val="en-GB"/>
        </w:rPr>
        <w:t xml:space="preserve">delta </w:t>
      </w:r>
      <w:r w:rsidRPr="00180B8D">
        <w:rPr>
          <w:lang w:val="en-GB"/>
        </w:rPr>
        <w:t xml:space="preserve">risk factors applicable to reference credit spread sensitive instruments in the CVA portfolio shall be the credit spreads of all maturities for all reference names within </w:t>
      </w:r>
      <w:r w:rsidR="00607398">
        <w:rPr>
          <w:lang w:val="en-GB"/>
        </w:rPr>
        <w:t>a</w:t>
      </w:r>
      <w:r w:rsidRPr="00180B8D">
        <w:rPr>
          <w:lang w:val="en-GB"/>
        </w:rPr>
        <w:t xml:space="preserve"> bucket. </w:t>
      </w:r>
      <w:r w:rsidR="00607398" w:rsidRPr="00607398">
        <w:t>There shall be one net sensitivity computed for each bucket</w:t>
      </w:r>
      <w:r w:rsidRPr="00180B8D">
        <w:rPr>
          <w:lang w:val="en-GB"/>
        </w:rPr>
        <w:t>.</w:t>
      </w:r>
    </w:p>
    <w:p w14:paraId="7D19CCA2" w14:textId="4F00E292" w:rsidR="00657236" w:rsidRPr="00180B8D" w:rsidRDefault="00D655E7">
      <w:pPr>
        <w:pStyle w:val="P68B1DB1-Normal2"/>
        <w:spacing w:after="0" w:line="240" w:lineRule="auto"/>
        <w:ind w:firstLine="567"/>
        <w:jc w:val="both"/>
        <w:rPr>
          <w:lang w:val="en-GB"/>
        </w:rPr>
      </w:pPr>
      <w:r w:rsidRPr="00180B8D">
        <w:rPr>
          <w:b/>
          <w:lang w:val="en-GB"/>
        </w:rPr>
        <w:t>56.</w:t>
      </w:r>
      <w:r w:rsidRPr="00180B8D">
        <w:rPr>
          <w:lang w:val="en-GB"/>
        </w:rPr>
        <w:t xml:space="preserve"> The reference credit spread </w:t>
      </w:r>
      <w:proofErr w:type="spellStart"/>
      <w:r w:rsidR="00607398" w:rsidRPr="00180B8D">
        <w:rPr>
          <w:lang w:val="en-GB"/>
        </w:rPr>
        <w:t>vega</w:t>
      </w:r>
      <w:proofErr w:type="spellEnd"/>
      <w:r w:rsidR="00607398" w:rsidRPr="00180B8D">
        <w:rPr>
          <w:lang w:val="en-GB"/>
        </w:rPr>
        <w:t xml:space="preserve"> </w:t>
      </w:r>
      <w:r w:rsidRPr="00180B8D">
        <w:rPr>
          <w:lang w:val="en-GB"/>
        </w:rPr>
        <w:t xml:space="preserve">risk factors applicable to instruments in the CVA portfolio sensitive to </w:t>
      </w:r>
      <w:r w:rsidR="00607398" w:rsidRPr="00180B8D">
        <w:rPr>
          <w:lang w:val="en-GB"/>
        </w:rPr>
        <w:t xml:space="preserve">reference credit spread </w:t>
      </w:r>
      <w:r w:rsidRPr="00180B8D">
        <w:rPr>
          <w:lang w:val="en-GB"/>
        </w:rPr>
        <w:t xml:space="preserve">volatility </w:t>
      </w:r>
      <w:r w:rsidR="00607398">
        <w:rPr>
          <w:lang w:val="en-GB"/>
        </w:rPr>
        <w:t>shall be the</w:t>
      </w:r>
      <w:r w:rsidRPr="00180B8D">
        <w:rPr>
          <w:lang w:val="en-GB"/>
        </w:rPr>
        <w:t xml:space="preserve"> the volatilit</w:t>
      </w:r>
      <w:r w:rsidR="00607398">
        <w:rPr>
          <w:lang w:val="en-GB"/>
        </w:rPr>
        <w:t>ies</w:t>
      </w:r>
      <w:r w:rsidRPr="00180B8D">
        <w:rPr>
          <w:lang w:val="en-GB"/>
        </w:rPr>
        <w:t xml:space="preserve"> of the credit spreads </w:t>
      </w:r>
      <w:r w:rsidR="00607398">
        <w:rPr>
          <w:lang w:val="en-GB"/>
        </w:rPr>
        <w:t>of all tenors</w:t>
      </w:r>
      <w:r w:rsidRPr="00180B8D">
        <w:rPr>
          <w:lang w:val="en-GB"/>
        </w:rPr>
        <w:t xml:space="preserve"> for all reference names within a bucket. </w:t>
      </w:r>
      <w:r w:rsidR="00607398" w:rsidRPr="00607398">
        <w:t>There shall be one net sensitivity computed for each bucket</w:t>
      </w:r>
      <w:r w:rsidRPr="00180B8D">
        <w:rPr>
          <w:lang w:val="en-GB"/>
        </w:rPr>
        <w:t>.</w:t>
      </w:r>
      <w:r w:rsidR="00607398">
        <w:rPr>
          <w:lang w:val="en-GB"/>
        </w:rPr>
        <w:t xml:space="preserve">  </w:t>
      </w:r>
    </w:p>
    <w:p w14:paraId="61CC6201" w14:textId="77777777" w:rsidR="00657236" w:rsidRPr="00180B8D" w:rsidRDefault="00D655E7">
      <w:pPr>
        <w:pStyle w:val="P68B1DB1-Normal3"/>
        <w:spacing w:after="0" w:line="240" w:lineRule="auto"/>
        <w:jc w:val="center"/>
        <w:rPr>
          <w:lang w:val="en-GB"/>
        </w:rPr>
      </w:pPr>
      <w:r w:rsidRPr="00180B8D">
        <w:rPr>
          <w:lang w:val="en-GB"/>
        </w:rPr>
        <w:t>Section 8</w:t>
      </w:r>
    </w:p>
    <w:p w14:paraId="78D8A3A4" w14:textId="77777777" w:rsidR="00657236" w:rsidRPr="00180B8D" w:rsidRDefault="00D655E7">
      <w:pPr>
        <w:pStyle w:val="P68B1DB1-Normal3"/>
        <w:spacing w:after="0" w:line="240" w:lineRule="auto"/>
        <w:jc w:val="center"/>
        <w:rPr>
          <w:lang w:val="en-GB"/>
        </w:rPr>
      </w:pPr>
      <w:r w:rsidRPr="00180B8D">
        <w:rPr>
          <w:lang w:val="en-GB"/>
        </w:rPr>
        <w:t>Equity risk factors</w:t>
      </w:r>
    </w:p>
    <w:p w14:paraId="2A0ABE45" w14:textId="6049CE3A" w:rsidR="00657236" w:rsidRPr="00180B8D" w:rsidRDefault="00D655E7">
      <w:pPr>
        <w:pStyle w:val="P68B1DB1-Normal2"/>
        <w:spacing w:after="0" w:line="240" w:lineRule="auto"/>
        <w:ind w:firstLine="567"/>
        <w:jc w:val="both"/>
        <w:rPr>
          <w:lang w:val="en-GB"/>
        </w:rPr>
      </w:pPr>
      <w:r w:rsidRPr="00180B8D">
        <w:rPr>
          <w:b/>
          <w:lang w:val="en-GB"/>
        </w:rPr>
        <w:t>57.</w:t>
      </w:r>
      <w:r w:rsidRPr="00180B8D">
        <w:rPr>
          <w:lang w:val="en-GB"/>
        </w:rPr>
        <w:t xml:space="preserve"> The buckets for all equity risk factors </w:t>
      </w:r>
      <w:r w:rsidR="00607398">
        <w:rPr>
          <w:lang w:val="en-GB"/>
        </w:rPr>
        <w:t>shall be</w:t>
      </w:r>
      <w:r w:rsidRPr="00180B8D">
        <w:rPr>
          <w:lang w:val="en-GB"/>
        </w:rPr>
        <w:t xml:space="preserve"> the buckets referred to in paragraphs 99 and 100.</w:t>
      </w:r>
    </w:p>
    <w:p w14:paraId="793221EC" w14:textId="10357907" w:rsidR="00657236" w:rsidRPr="00180B8D" w:rsidRDefault="00D655E7">
      <w:pPr>
        <w:pStyle w:val="P68B1DB1-Normal2"/>
        <w:spacing w:after="0" w:line="240" w:lineRule="auto"/>
        <w:ind w:firstLine="567"/>
        <w:jc w:val="both"/>
        <w:rPr>
          <w:lang w:val="en-GB"/>
        </w:rPr>
      </w:pPr>
      <w:r w:rsidRPr="00180B8D">
        <w:rPr>
          <w:b/>
          <w:lang w:val="en-GB"/>
        </w:rPr>
        <w:t>58.</w:t>
      </w:r>
      <w:r w:rsidRPr="00180B8D">
        <w:rPr>
          <w:lang w:val="en-GB"/>
        </w:rPr>
        <w:t xml:space="preserve"> The</w:t>
      </w:r>
      <w:r w:rsidR="00607398">
        <w:rPr>
          <w:lang w:val="en-GB"/>
        </w:rPr>
        <w:t xml:space="preserve"> </w:t>
      </w:r>
      <w:r w:rsidR="00607398" w:rsidRPr="00607398">
        <w:t>equity </w:t>
      </w:r>
      <w:r w:rsidRPr="00180B8D">
        <w:rPr>
          <w:lang w:val="en-GB"/>
        </w:rPr>
        <w:t xml:space="preserve">delta risk factors to be applied by banks to </w:t>
      </w:r>
      <w:r w:rsidRPr="00180B8D">
        <w:rPr>
          <w:lang w:val="en-GB"/>
        </w:rPr>
        <w:t>instruments in the CVA portfolio</w:t>
      </w:r>
      <w:r w:rsidR="00607398">
        <w:rPr>
          <w:lang w:val="en-GB"/>
        </w:rPr>
        <w:t xml:space="preserve"> </w:t>
      </w:r>
      <w:r w:rsidRPr="00180B8D">
        <w:rPr>
          <w:lang w:val="en-GB"/>
        </w:rPr>
        <w:t xml:space="preserve">sensitive to equity spot prices </w:t>
      </w:r>
      <w:r w:rsidR="00607398">
        <w:rPr>
          <w:lang w:val="en-GB"/>
        </w:rPr>
        <w:t>shall be</w:t>
      </w:r>
      <w:r w:rsidRPr="00180B8D">
        <w:rPr>
          <w:lang w:val="en-GB"/>
        </w:rPr>
        <w:t xml:space="preserve"> the spot prices of all equities </w:t>
      </w:r>
      <w:r w:rsidR="00607398" w:rsidRPr="00607398">
        <w:t>mapped </w:t>
      </w:r>
      <w:r w:rsidR="00607398">
        <w:rPr>
          <w:lang w:val="en-GB"/>
        </w:rPr>
        <w:t>to</w:t>
      </w:r>
      <w:r w:rsidRPr="00180B8D">
        <w:rPr>
          <w:lang w:val="en-GB"/>
        </w:rPr>
        <w:t xml:space="preserve"> the same bucket referred to in paragraph 57. </w:t>
      </w:r>
      <w:r w:rsidR="00607398" w:rsidRPr="00607398">
        <w:t>There shall be one net sensitivity computed for each bucket</w:t>
      </w:r>
      <w:r w:rsidRPr="00180B8D">
        <w:rPr>
          <w:lang w:val="en-GB"/>
        </w:rPr>
        <w:t>.</w:t>
      </w:r>
    </w:p>
    <w:p w14:paraId="134C582B" w14:textId="6FBE3B8B" w:rsidR="00657236" w:rsidRPr="00180B8D" w:rsidRDefault="00D655E7">
      <w:pPr>
        <w:pStyle w:val="P68B1DB1-Normal2"/>
        <w:spacing w:after="0" w:line="240" w:lineRule="auto"/>
        <w:ind w:firstLine="567"/>
        <w:jc w:val="both"/>
        <w:rPr>
          <w:lang w:val="en-GB"/>
        </w:rPr>
      </w:pPr>
      <w:r w:rsidRPr="00180B8D">
        <w:rPr>
          <w:b/>
          <w:lang w:val="en-GB"/>
        </w:rPr>
        <w:t>59.</w:t>
      </w:r>
      <w:r w:rsidRPr="00180B8D">
        <w:rPr>
          <w:lang w:val="en-GB"/>
        </w:rPr>
        <w:t xml:space="preserve"> The equity </w:t>
      </w:r>
      <w:proofErr w:type="spellStart"/>
      <w:r w:rsidR="00607398" w:rsidRPr="00180B8D">
        <w:rPr>
          <w:lang w:val="en-GB"/>
        </w:rPr>
        <w:t>vega</w:t>
      </w:r>
      <w:proofErr w:type="spellEnd"/>
      <w:r w:rsidR="00607398" w:rsidRPr="00180B8D">
        <w:rPr>
          <w:lang w:val="en-GB"/>
        </w:rPr>
        <w:t xml:space="preserve"> </w:t>
      </w:r>
      <w:r w:rsidRPr="00180B8D">
        <w:rPr>
          <w:lang w:val="en-GB"/>
        </w:rPr>
        <w:t>risk factors to be applied by banks to instruments in the CVA portfolio</w:t>
      </w:r>
      <w:r w:rsidR="00607398">
        <w:rPr>
          <w:lang w:val="en-GB"/>
        </w:rPr>
        <w:t xml:space="preserve"> </w:t>
      </w:r>
      <w:r w:rsidRPr="00180B8D">
        <w:rPr>
          <w:lang w:val="en-GB"/>
        </w:rPr>
        <w:t xml:space="preserve">sensitive to equity volatility </w:t>
      </w:r>
      <w:r w:rsidR="00607398">
        <w:rPr>
          <w:lang w:val="en-GB"/>
        </w:rPr>
        <w:t>shall be</w:t>
      </w:r>
      <w:r w:rsidRPr="00180B8D">
        <w:rPr>
          <w:lang w:val="en-GB"/>
        </w:rPr>
        <w:t xml:space="preserve"> the implied volatilities of all equities </w:t>
      </w:r>
      <w:r w:rsidR="00607398" w:rsidRPr="00607398">
        <w:t>mapped </w:t>
      </w:r>
      <w:r w:rsidR="00607398">
        <w:rPr>
          <w:lang w:val="en-GB"/>
        </w:rPr>
        <w:t>to</w:t>
      </w:r>
      <w:r w:rsidRPr="00180B8D">
        <w:rPr>
          <w:lang w:val="en-GB"/>
        </w:rPr>
        <w:t xml:space="preserve"> the same bucket referred to in paragraph 57. </w:t>
      </w:r>
      <w:r w:rsidR="00607398" w:rsidRPr="00607398">
        <w:t>There shall be one net sensitivity computed for each bucket</w:t>
      </w:r>
      <w:r w:rsidRPr="00180B8D">
        <w:rPr>
          <w:lang w:val="en-GB"/>
        </w:rPr>
        <w:t>.</w:t>
      </w:r>
    </w:p>
    <w:p w14:paraId="72DF1FCB" w14:textId="77777777" w:rsidR="00657236" w:rsidRPr="00180B8D" w:rsidRDefault="00D655E7">
      <w:pPr>
        <w:pStyle w:val="P68B1DB1-Normal3"/>
        <w:spacing w:after="0" w:line="240" w:lineRule="auto"/>
        <w:jc w:val="center"/>
        <w:rPr>
          <w:lang w:val="en-GB"/>
        </w:rPr>
      </w:pPr>
      <w:r w:rsidRPr="00180B8D">
        <w:rPr>
          <w:lang w:val="en-GB"/>
        </w:rPr>
        <w:t>Section 9</w:t>
      </w:r>
    </w:p>
    <w:p w14:paraId="74D39518" w14:textId="77777777" w:rsidR="00657236" w:rsidRPr="00180B8D" w:rsidRDefault="00D655E7">
      <w:pPr>
        <w:pStyle w:val="P68B1DB1-Normal3"/>
        <w:spacing w:after="0" w:line="240" w:lineRule="auto"/>
        <w:jc w:val="center"/>
        <w:rPr>
          <w:lang w:val="en-GB"/>
        </w:rPr>
      </w:pPr>
      <w:r w:rsidRPr="00180B8D">
        <w:rPr>
          <w:lang w:val="en-GB"/>
        </w:rPr>
        <w:t>Commodity risk factors</w:t>
      </w:r>
    </w:p>
    <w:p w14:paraId="740BBEB7" w14:textId="3DD8807E" w:rsidR="00657236" w:rsidRPr="00180B8D" w:rsidRDefault="00D655E7">
      <w:pPr>
        <w:pStyle w:val="P68B1DB1-Normal2"/>
        <w:spacing w:after="0" w:line="240" w:lineRule="auto"/>
        <w:ind w:firstLine="567"/>
        <w:jc w:val="both"/>
        <w:rPr>
          <w:lang w:val="en-GB"/>
        </w:rPr>
      </w:pPr>
      <w:r w:rsidRPr="00180B8D">
        <w:rPr>
          <w:b/>
          <w:lang w:val="en-GB"/>
        </w:rPr>
        <w:t>60.</w:t>
      </w:r>
      <w:r w:rsidRPr="00180B8D">
        <w:rPr>
          <w:lang w:val="en-GB"/>
        </w:rPr>
        <w:t xml:space="preserve"> The buckets for all commodity risk factors </w:t>
      </w:r>
      <w:r w:rsidR="000D2B3D">
        <w:rPr>
          <w:lang w:val="en-GB"/>
        </w:rPr>
        <w:t>shall be</w:t>
      </w:r>
      <w:r w:rsidRPr="00180B8D">
        <w:rPr>
          <w:lang w:val="en-GB"/>
        </w:rPr>
        <w:t xml:space="preserve"> the sector buckets referred to in paragraphs 109 and 110.</w:t>
      </w:r>
    </w:p>
    <w:p w14:paraId="01A05C35" w14:textId="59C04B97" w:rsidR="00657236" w:rsidRPr="00180B8D" w:rsidRDefault="00D655E7">
      <w:pPr>
        <w:pStyle w:val="P68B1DB1-Normal2"/>
        <w:spacing w:after="0" w:line="240" w:lineRule="auto"/>
        <w:ind w:firstLine="567"/>
        <w:jc w:val="both"/>
        <w:rPr>
          <w:lang w:val="en-GB"/>
        </w:rPr>
      </w:pPr>
      <w:r w:rsidRPr="00180B8D">
        <w:rPr>
          <w:b/>
          <w:lang w:val="en-GB"/>
        </w:rPr>
        <w:t>61.</w:t>
      </w:r>
      <w:r w:rsidRPr="00180B8D">
        <w:rPr>
          <w:lang w:val="en-GB"/>
        </w:rPr>
        <w:t xml:space="preserve"> The </w:t>
      </w:r>
      <w:r w:rsidR="000D2B3D" w:rsidRPr="00180B8D">
        <w:rPr>
          <w:lang w:val="en-GB"/>
        </w:rPr>
        <w:t xml:space="preserve">commodity </w:t>
      </w:r>
      <w:r w:rsidRPr="00180B8D">
        <w:rPr>
          <w:lang w:val="en-GB"/>
        </w:rPr>
        <w:t xml:space="preserve">delta risk factors to be applied by banks to instruments in the CVA portfolio sensitive to commodity spot prices </w:t>
      </w:r>
      <w:r w:rsidR="000D2B3D">
        <w:rPr>
          <w:lang w:val="en-GB"/>
        </w:rPr>
        <w:t>shall be</w:t>
      </w:r>
      <w:r w:rsidRPr="00180B8D">
        <w:rPr>
          <w:lang w:val="en-GB"/>
        </w:rPr>
        <w:t xml:space="preserve"> the spot prices of all commodities </w:t>
      </w:r>
      <w:r w:rsidR="000D2B3D" w:rsidRPr="000D2B3D">
        <w:t>mapped </w:t>
      </w:r>
      <w:r w:rsidR="000D2B3D">
        <w:t xml:space="preserve">to </w:t>
      </w:r>
      <w:r w:rsidRPr="00180B8D">
        <w:rPr>
          <w:lang w:val="en-GB"/>
        </w:rPr>
        <w:t xml:space="preserve">the same sector bucket referred to in paragraph 60. </w:t>
      </w:r>
      <w:r w:rsidR="000D2B3D" w:rsidRPr="000D2B3D">
        <w:t>There shall be one net sensitivity computed for each sector bucket</w:t>
      </w:r>
      <w:r w:rsidRPr="00180B8D">
        <w:rPr>
          <w:lang w:val="en-GB"/>
        </w:rPr>
        <w:t>.</w:t>
      </w:r>
    </w:p>
    <w:p w14:paraId="7FFE1C1D" w14:textId="6657BF30" w:rsidR="00657236" w:rsidRPr="00180B8D" w:rsidRDefault="00D655E7">
      <w:pPr>
        <w:pStyle w:val="P68B1DB1-Normal2"/>
        <w:spacing w:after="0" w:line="240" w:lineRule="auto"/>
        <w:ind w:firstLine="567"/>
        <w:jc w:val="both"/>
        <w:rPr>
          <w:lang w:val="en-GB"/>
        </w:rPr>
      </w:pPr>
      <w:r w:rsidRPr="00180B8D">
        <w:rPr>
          <w:b/>
          <w:lang w:val="en-GB"/>
        </w:rPr>
        <w:t>62.</w:t>
      </w:r>
      <w:r w:rsidRPr="00180B8D">
        <w:rPr>
          <w:lang w:val="en-GB"/>
        </w:rPr>
        <w:t xml:space="preserve"> </w:t>
      </w:r>
      <w:r w:rsidR="000D2B3D" w:rsidRPr="000D2B3D">
        <w:t xml:space="preserve">The commodity </w:t>
      </w:r>
      <w:proofErr w:type="spellStart"/>
      <w:r w:rsidR="000D2B3D" w:rsidRPr="000D2B3D">
        <w:t>vega</w:t>
      </w:r>
      <w:proofErr w:type="spellEnd"/>
      <w:r w:rsidR="000D2B3D" w:rsidRPr="000D2B3D">
        <w:t xml:space="preserve"> risk factors to be applied by</w:t>
      </w:r>
      <w:r w:rsidR="000D2B3D" w:rsidRPr="000D2B3D">
        <w:rPr>
          <w:lang w:val="en-GB"/>
        </w:rPr>
        <w:t xml:space="preserve"> </w:t>
      </w:r>
      <w:r w:rsidRPr="00180B8D">
        <w:rPr>
          <w:lang w:val="en-GB"/>
        </w:rPr>
        <w:t xml:space="preserve">banks </w:t>
      </w:r>
      <w:r w:rsidR="000D2B3D" w:rsidRPr="000D2B3D">
        <w:t xml:space="preserve">to instruments in the CVA portfolio sensitive to commodity price volatility shall be the implied volatilities of all commodities mapped to the same sector bucket referred </w:t>
      </w:r>
      <w:r w:rsidRPr="00180B8D">
        <w:rPr>
          <w:lang w:val="en-GB"/>
        </w:rPr>
        <w:t xml:space="preserve">to in paragraph 60. </w:t>
      </w:r>
      <w:r w:rsidR="000D2B3D" w:rsidRPr="000D2B3D">
        <w:t>There shall be one net sensitivity computed for each sector bucket</w:t>
      </w:r>
      <w:r w:rsidRPr="00180B8D">
        <w:rPr>
          <w:lang w:val="en-GB"/>
        </w:rPr>
        <w:t>.</w:t>
      </w:r>
    </w:p>
    <w:p w14:paraId="528993F3" w14:textId="77777777" w:rsidR="00657236" w:rsidRPr="00180B8D" w:rsidRDefault="00D655E7">
      <w:pPr>
        <w:pStyle w:val="P68B1DB1-Normal3"/>
        <w:spacing w:after="0" w:line="240" w:lineRule="auto"/>
        <w:jc w:val="center"/>
        <w:rPr>
          <w:lang w:val="en-GB"/>
        </w:rPr>
      </w:pPr>
      <w:r w:rsidRPr="00180B8D">
        <w:rPr>
          <w:lang w:val="en-GB"/>
        </w:rPr>
        <w:t>Section 10</w:t>
      </w:r>
    </w:p>
    <w:p w14:paraId="02FDA99F" w14:textId="77777777" w:rsidR="00657236" w:rsidRPr="00180B8D" w:rsidRDefault="00D655E7">
      <w:pPr>
        <w:pStyle w:val="P68B1DB1-Normal3"/>
        <w:spacing w:after="0" w:line="240" w:lineRule="auto"/>
        <w:jc w:val="center"/>
        <w:rPr>
          <w:lang w:val="en-GB"/>
        </w:rPr>
      </w:pPr>
      <w:r w:rsidRPr="00180B8D">
        <w:rPr>
          <w:lang w:val="en-GB"/>
        </w:rPr>
        <w:t xml:space="preserve">Delta and </w:t>
      </w:r>
      <w:proofErr w:type="spellStart"/>
      <w:r w:rsidRPr="00180B8D">
        <w:rPr>
          <w:lang w:val="en-GB"/>
        </w:rPr>
        <w:t>vega</w:t>
      </w:r>
      <w:proofErr w:type="spellEnd"/>
      <w:r w:rsidRPr="00180B8D">
        <w:rPr>
          <w:lang w:val="en-GB"/>
        </w:rPr>
        <w:t xml:space="preserve"> risk sensitivities</w:t>
      </w:r>
    </w:p>
    <w:p w14:paraId="5860F228" w14:textId="77777777" w:rsidR="00657236" w:rsidRPr="00180B8D" w:rsidRDefault="00D655E7">
      <w:pPr>
        <w:pStyle w:val="P68B1DB1-Normal2"/>
        <w:spacing w:after="0" w:line="240" w:lineRule="auto"/>
        <w:ind w:firstLine="567"/>
        <w:jc w:val="both"/>
        <w:rPr>
          <w:lang w:val="en-GB"/>
        </w:rPr>
      </w:pPr>
      <w:r w:rsidRPr="00180B8D">
        <w:rPr>
          <w:b/>
          <w:lang w:val="en-GB"/>
        </w:rPr>
        <w:t>63.</w:t>
      </w:r>
      <w:r w:rsidRPr="00180B8D">
        <w:rPr>
          <w:lang w:val="en-GB"/>
        </w:rPr>
        <w:t xml:space="preserve"> Banks shall calculate the delta sensitivities consisting of interest rate risk factors as follows:</w:t>
      </w:r>
    </w:p>
    <w:p w14:paraId="1A36C79F" w14:textId="77777777" w:rsidR="00657236" w:rsidRPr="00180B8D" w:rsidRDefault="00D655E7">
      <w:pPr>
        <w:pStyle w:val="P68B1DB1-Normal2"/>
        <w:spacing w:after="0" w:line="240" w:lineRule="auto"/>
        <w:ind w:firstLine="567"/>
        <w:jc w:val="both"/>
        <w:rPr>
          <w:lang w:val="en-GB"/>
        </w:rPr>
      </w:pPr>
      <w:r w:rsidRPr="00180B8D">
        <w:rPr>
          <w:lang w:val="en-GB"/>
        </w:rPr>
        <w:t>63.1. the delta sensitivities of the aggregate CVA to risk factors consisting of risk-free rates as well as of an eligible hedge to those risk factors shall be calculated as follows:</w:t>
      </w:r>
    </w:p>
    <w:p w14:paraId="4294D622" w14:textId="77777777" w:rsidR="00657236" w:rsidRPr="00180B8D" w:rsidRDefault="00D655E7">
      <w:pPr>
        <w:pStyle w:val="P68B1DB1-Normal2"/>
        <w:spacing w:after="0" w:line="240" w:lineRule="auto"/>
        <w:ind w:firstLine="567"/>
        <w:jc w:val="both"/>
        <w:rPr>
          <w:lang w:val="en-GB"/>
        </w:rPr>
      </w:pPr>
      <w:r w:rsidRPr="00180B8D">
        <w:rPr>
          <w:lang w:val="en-GB"/>
        </w:rPr>
        <w:t> </w:t>
      </w:r>
    </w:p>
    <w:p w14:paraId="62E7B91B" w14:textId="33F06528" w:rsidR="00657236" w:rsidRPr="00180B8D" w:rsidRDefault="000D2B3D">
      <w:pPr>
        <w:pStyle w:val="P68B1DB1-Normal2"/>
        <w:spacing w:after="0" w:line="240" w:lineRule="auto"/>
        <w:jc w:val="center"/>
        <w:rPr>
          <w:lang w:val="en-GB"/>
        </w:rPr>
      </w:pPr>
      <w:r>
        <w:rPr>
          <w:noProof/>
        </w:rPr>
        <w:drawing>
          <wp:inline distT="0" distB="0" distL="0" distR="0" wp14:anchorId="4459D19C" wp14:editId="05CF8B40">
            <wp:extent cx="4276029" cy="540882"/>
            <wp:effectExtent l="0" t="0" r="0" b="0"/>
            <wp:docPr id="1175558740"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01588" cy="544115"/>
                    </a:xfrm>
                    <a:prstGeom prst="rect">
                      <a:avLst/>
                    </a:prstGeom>
                    <a:noFill/>
                    <a:ln>
                      <a:noFill/>
                    </a:ln>
                  </pic:spPr>
                </pic:pic>
              </a:graphicData>
            </a:graphic>
          </wp:inline>
        </w:drawing>
      </w:r>
      <w:r w:rsidRPr="000D2B3D">
        <w:t xml:space="preserve"> </w:t>
      </w:r>
      <w:r>
        <w:rPr>
          <w:noProof/>
        </w:rPr>
        <w:drawing>
          <wp:inline distT="0" distB="0" distL="0" distR="0" wp14:anchorId="6268B50C" wp14:editId="10897EBB">
            <wp:extent cx="4313001" cy="557117"/>
            <wp:effectExtent l="0" t="0" r="0" b="0"/>
            <wp:docPr id="1607285024"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33858" cy="572728"/>
                    </a:xfrm>
                    <a:prstGeom prst="rect">
                      <a:avLst/>
                    </a:prstGeom>
                    <a:noFill/>
                    <a:ln>
                      <a:noFill/>
                    </a:ln>
                  </pic:spPr>
                </pic:pic>
              </a:graphicData>
            </a:graphic>
          </wp:inline>
        </w:drawing>
      </w:r>
    </w:p>
    <w:p w14:paraId="6EB52A15" w14:textId="77777777" w:rsidR="00657236" w:rsidRPr="00180B8D" w:rsidRDefault="00D655E7">
      <w:pPr>
        <w:pStyle w:val="P68B1DB1-Normal2"/>
        <w:spacing w:after="0" w:line="240" w:lineRule="auto"/>
        <w:jc w:val="center"/>
        <w:rPr>
          <w:lang w:val="en-GB"/>
        </w:rPr>
      </w:pPr>
      <w:r w:rsidRPr="00180B8D">
        <w:rPr>
          <w:lang w:val="en-GB"/>
        </w:rPr>
        <w:t> </w:t>
      </w:r>
    </w:p>
    <w:p w14:paraId="371C4956" w14:textId="647562A6" w:rsidR="00657236" w:rsidRPr="00180B8D" w:rsidRDefault="00657236">
      <w:pPr>
        <w:pStyle w:val="P68B1DB1-Normal2"/>
        <w:spacing w:after="0" w:line="240" w:lineRule="auto"/>
        <w:jc w:val="center"/>
        <w:rPr>
          <w:lang w:val="en-GB"/>
        </w:rPr>
      </w:pPr>
    </w:p>
    <w:p w14:paraId="53363CAF" w14:textId="77777777" w:rsidR="00657236" w:rsidRPr="00180B8D" w:rsidRDefault="00D655E7">
      <w:pPr>
        <w:pStyle w:val="P68B1DB1-Normal2"/>
        <w:spacing w:after="0" w:line="240" w:lineRule="auto"/>
        <w:ind w:firstLine="567"/>
        <w:jc w:val="both"/>
        <w:rPr>
          <w:lang w:val="en-GB"/>
        </w:rPr>
      </w:pPr>
      <w:r w:rsidRPr="00180B8D">
        <w:rPr>
          <w:lang w:val="en-GB"/>
        </w:rPr>
        <w:t>where:</w:t>
      </w:r>
    </w:p>
    <w:p w14:paraId="62C2FA9C" w14:textId="3F604AC8" w:rsidR="00657236" w:rsidRPr="00180B8D" w:rsidRDefault="00D655E7">
      <w:pPr>
        <w:pStyle w:val="P68B1DB1-Normal2"/>
        <w:spacing w:after="0" w:line="240" w:lineRule="auto"/>
        <w:ind w:firstLine="567"/>
        <w:jc w:val="both"/>
        <w:rPr>
          <w:lang w:val="en-GB"/>
        </w:rPr>
      </w:pPr>
      <w:r w:rsidRPr="00180B8D">
        <w:rPr>
          <w:noProof/>
          <w:lang w:val="en-GB"/>
        </w:rPr>
        <w:drawing>
          <wp:inline distT="0" distB="0" distL="0" distR="0" wp14:anchorId="40122F2D" wp14:editId="21FD5BD1">
            <wp:extent cx="284480" cy="198120"/>
            <wp:effectExtent l="0" t="0" r="127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4480" cy="198120"/>
                    </a:xfrm>
                    <a:prstGeom prst="rect">
                      <a:avLst/>
                    </a:prstGeom>
                    <a:noFill/>
                    <a:ln>
                      <a:noFill/>
                    </a:ln>
                  </pic:spPr>
                </pic:pic>
              </a:graphicData>
            </a:graphic>
          </wp:inline>
        </w:drawing>
      </w:r>
      <w:r w:rsidRPr="00180B8D">
        <w:rPr>
          <w:lang w:val="en-GB"/>
        </w:rPr>
        <w:t>= the sensitivities of the aggregate CVA to a risk-free rate</w:t>
      </w:r>
      <w:r w:rsidR="000D2B3D">
        <w:rPr>
          <w:lang w:val="en-GB"/>
        </w:rPr>
        <w:t xml:space="preserve"> </w:t>
      </w:r>
      <w:r w:rsidR="000D2B3D" w:rsidRPr="000D2B3D">
        <w:t>risk</w:t>
      </w:r>
      <w:r w:rsidRPr="00180B8D">
        <w:rPr>
          <w:lang w:val="en-GB"/>
        </w:rPr>
        <w:t xml:space="preserve"> </w:t>
      </w:r>
      <w:proofErr w:type="gramStart"/>
      <w:r w:rsidRPr="00180B8D">
        <w:rPr>
          <w:lang w:val="en-GB"/>
        </w:rPr>
        <w:t>factor;</w:t>
      </w:r>
      <w:proofErr w:type="gramEnd"/>
    </w:p>
    <w:p w14:paraId="6D15283B" w14:textId="6C21A728" w:rsidR="00657236" w:rsidRPr="00180B8D" w:rsidRDefault="00D655E7">
      <w:pPr>
        <w:pStyle w:val="P68B1DB1-Normal2"/>
        <w:spacing w:after="0" w:line="240" w:lineRule="auto"/>
        <w:ind w:firstLine="567"/>
        <w:jc w:val="both"/>
        <w:rPr>
          <w:lang w:val="en-GB"/>
        </w:rPr>
      </w:pPr>
      <w:proofErr w:type="spellStart"/>
      <w:r w:rsidRPr="00180B8D">
        <w:rPr>
          <w:i/>
          <w:lang w:val="en-GB"/>
        </w:rPr>
        <w:t>r</w:t>
      </w:r>
      <w:r w:rsidRPr="00180B8D">
        <w:rPr>
          <w:i/>
          <w:vertAlign w:val="subscript"/>
          <w:lang w:val="en-GB"/>
        </w:rPr>
        <w:t>kt</w:t>
      </w:r>
      <w:proofErr w:type="spellEnd"/>
      <w:r w:rsidRPr="00180B8D">
        <w:rPr>
          <w:lang w:val="en-GB"/>
        </w:rPr>
        <w:t xml:space="preserve"> = the value of the risk-free rate factor </w:t>
      </w:r>
      <w:r w:rsidRPr="00180B8D">
        <w:rPr>
          <w:i/>
          <w:lang w:val="en-GB"/>
        </w:rPr>
        <w:t>k</w:t>
      </w:r>
      <w:r w:rsidRPr="00180B8D">
        <w:rPr>
          <w:lang w:val="en-GB"/>
        </w:rPr>
        <w:t xml:space="preserve"> with maturity </w:t>
      </w:r>
      <w:proofErr w:type="gramStart"/>
      <w:r w:rsidRPr="00180B8D">
        <w:rPr>
          <w:i/>
          <w:lang w:val="en-GB"/>
        </w:rPr>
        <w:t>t</w:t>
      </w:r>
      <w:r w:rsidRPr="00180B8D">
        <w:rPr>
          <w:lang w:val="en-GB"/>
        </w:rPr>
        <w:t>;</w:t>
      </w:r>
      <w:proofErr w:type="gramEnd"/>
    </w:p>
    <w:p w14:paraId="5FB55F69" w14:textId="4F1E3B58"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CVA</w:t>
      </w:r>
      <w:r w:rsidRPr="00180B8D">
        <w:rPr>
          <w:lang w:val="en-GB"/>
        </w:rPr>
        <w:t xml:space="preserve"> = </w:t>
      </w:r>
      <w:r w:rsidR="000D2B3D" w:rsidRPr="000D2B3D">
        <w:t xml:space="preserve">the aggregate CVA calculated by the regulatory CVA </w:t>
      </w:r>
      <w:proofErr w:type="gramStart"/>
      <w:r w:rsidR="000D2B3D" w:rsidRPr="000D2B3D">
        <w:t>model</w:t>
      </w:r>
      <w:r w:rsidRPr="00180B8D">
        <w:rPr>
          <w:lang w:val="en-GB"/>
        </w:rPr>
        <w:t>;</w:t>
      </w:r>
      <w:proofErr w:type="gramEnd"/>
    </w:p>
    <w:p w14:paraId="4C1A2246" w14:textId="3626A69F" w:rsidR="00657236" w:rsidRPr="00180B8D" w:rsidRDefault="00D655E7">
      <w:pPr>
        <w:pStyle w:val="P68B1DB1-Normal2"/>
        <w:spacing w:after="0" w:line="240" w:lineRule="auto"/>
        <w:ind w:firstLine="567"/>
        <w:jc w:val="both"/>
        <w:rPr>
          <w:lang w:val="en-GB"/>
        </w:rPr>
      </w:pPr>
      <w:r w:rsidRPr="00180B8D">
        <w:rPr>
          <w:i/>
          <w:lang w:val="en-GB"/>
        </w:rPr>
        <w:t>x, y</w:t>
      </w:r>
      <w:r w:rsidRPr="00180B8D">
        <w:rPr>
          <w:lang w:val="en-GB"/>
        </w:rPr>
        <w:t xml:space="preserve"> = risk factors other than </w:t>
      </w:r>
      <w:proofErr w:type="spellStart"/>
      <w:r w:rsidRPr="00180B8D">
        <w:rPr>
          <w:i/>
          <w:lang w:val="en-GB"/>
        </w:rPr>
        <w:t>r</w:t>
      </w:r>
      <w:r w:rsidRPr="00180B8D">
        <w:rPr>
          <w:i/>
          <w:vertAlign w:val="subscript"/>
          <w:lang w:val="en-GB"/>
        </w:rPr>
        <w:t>kt</w:t>
      </w:r>
      <w:proofErr w:type="spellEnd"/>
      <w:r w:rsidRPr="00180B8D">
        <w:rPr>
          <w:lang w:val="en-GB"/>
        </w:rPr>
        <w:t xml:space="preserve"> in </w:t>
      </w:r>
      <w:proofErr w:type="gramStart"/>
      <w:r w:rsidRPr="00180B8D">
        <w:rPr>
          <w:i/>
          <w:lang w:val="en-GB"/>
        </w:rPr>
        <w:t>V</w:t>
      </w:r>
      <w:r w:rsidRPr="00180B8D">
        <w:rPr>
          <w:i/>
          <w:vertAlign w:val="subscript"/>
          <w:lang w:val="en-GB"/>
        </w:rPr>
        <w:t>CVA</w:t>
      </w:r>
      <w:r w:rsidRPr="00180B8D">
        <w:rPr>
          <w:lang w:val="en-GB"/>
        </w:rPr>
        <w:t>;</w:t>
      </w:r>
      <w:proofErr w:type="gramEnd"/>
    </w:p>
    <w:p w14:paraId="21A1BD2F" w14:textId="5AB5006A" w:rsidR="00657236" w:rsidRPr="00180B8D" w:rsidRDefault="000D2B3D">
      <w:pPr>
        <w:pStyle w:val="P68B1DB1-Normal2"/>
        <w:spacing w:after="0" w:line="240" w:lineRule="auto"/>
        <w:ind w:firstLine="567"/>
        <w:jc w:val="both"/>
        <w:rPr>
          <w:lang w:val="en-GB"/>
        </w:rPr>
      </w:pPr>
      <w:r>
        <w:rPr>
          <w:noProof/>
        </w:rPr>
        <w:drawing>
          <wp:inline distT="0" distB="0" distL="0" distR="0" wp14:anchorId="21E790A5" wp14:editId="345B7BB8">
            <wp:extent cx="469265" cy="254635"/>
            <wp:effectExtent l="0" t="0" r="6985" b="0"/>
            <wp:docPr id="1468761582" name="Picture 1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imag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9265" cy="254635"/>
                    </a:xfrm>
                    <a:prstGeom prst="rect">
                      <a:avLst/>
                    </a:prstGeom>
                    <a:noFill/>
                    <a:ln>
                      <a:noFill/>
                    </a:ln>
                  </pic:spPr>
                </pic:pic>
              </a:graphicData>
            </a:graphic>
          </wp:inline>
        </w:drawing>
      </w:r>
      <w:r w:rsidRPr="00180B8D">
        <w:rPr>
          <w:lang w:val="en-GB"/>
        </w:rPr>
        <w:t xml:space="preserve">= </w:t>
      </w:r>
      <w:r w:rsidRPr="000D2B3D">
        <w:t xml:space="preserve">the sensitivities of the eligible hedge i to a risk-free rate risk </w:t>
      </w:r>
      <w:proofErr w:type="gramStart"/>
      <w:r w:rsidRPr="000D2B3D">
        <w:t>factor</w:t>
      </w:r>
      <w:r w:rsidRPr="00180B8D">
        <w:rPr>
          <w:lang w:val="en-GB"/>
        </w:rPr>
        <w:t>;</w:t>
      </w:r>
      <w:proofErr w:type="gramEnd"/>
    </w:p>
    <w:p w14:paraId="54E3812D" w14:textId="25E9C45A" w:rsidR="00657236" w:rsidRPr="00180B8D" w:rsidRDefault="00D655E7">
      <w:pPr>
        <w:pStyle w:val="P68B1DB1-Normal2"/>
        <w:spacing w:after="0" w:line="240" w:lineRule="auto"/>
        <w:ind w:firstLine="567"/>
        <w:jc w:val="both"/>
        <w:rPr>
          <w:lang w:val="en-GB"/>
        </w:rPr>
      </w:pPr>
      <w:r w:rsidRPr="00180B8D">
        <w:rPr>
          <w:i/>
          <w:lang w:val="en-GB"/>
        </w:rPr>
        <w:lastRenderedPageBreak/>
        <w:t>V</w:t>
      </w:r>
      <w:r w:rsidRPr="00180B8D">
        <w:rPr>
          <w:i/>
          <w:vertAlign w:val="subscript"/>
          <w:lang w:val="en-GB"/>
        </w:rPr>
        <w:t>i</w:t>
      </w:r>
      <w:r w:rsidRPr="00180B8D">
        <w:rPr>
          <w:lang w:val="en-GB"/>
        </w:rPr>
        <w:t xml:space="preserve"> = </w:t>
      </w:r>
      <w:r w:rsidR="00987038" w:rsidRPr="00987038">
        <w:t xml:space="preserve">the pricing function of the eligible hedge </w:t>
      </w:r>
      <w:proofErr w:type="gramStart"/>
      <w:r w:rsidRPr="00180B8D">
        <w:rPr>
          <w:i/>
          <w:lang w:val="en-GB"/>
        </w:rPr>
        <w:t>i;</w:t>
      </w:r>
      <w:proofErr w:type="gramEnd"/>
    </w:p>
    <w:p w14:paraId="36DF71AA" w14:textId="5D61D05D" w:rsidR="00657236" w:rsidRPr="00180B8D" w:rsidRDefault="00D655E7">
      <w:pPr>
        <w:pStyle w:val="P68B1DB1-Normal2"/>
        <w:spacing w:after="0" w:line="240" w:lineRule="auto"/>
        <w:ind w:firstLine="567"/>
        <w:jc w:val="both"/>
        <w:rPr>
          <w:lang w:val="en-GB"/>
        </w:rPr>
      </w:pPr>
      <w:r w:rsidRPr="00180B8D">
        <w:rPr>
          <w:i/>
          <w:lang w:val="en-GB"/>
        </w:rPr>
        <w:t>w, z</w:t>
      </w:r>
      <w:r w:rsidRPr="00180B8D">
        <w:rPr>
          <w:lang w:val="en-GB"/>
        </w:rPr>
        <w:t xml:space="preserve"> = risk factors other than </w:t>
      </w:r>
      <w:proofErr w:type="spellStart"/>
      <w:r w:rsidRPr="00180B8D">
        <w:rPr>
          <w:i/>
          <w:lang w:val="en-GB"/>
        </w:rPr>
        <w:t>r</w:t>
      </w:r>
      <w:r w:rsidRPr="00180B8D">
        <w:rPr>
          <w:i/>
          <w:vertAlign w:val="subscript"/>
          <w:lang w:val="en-GB"/>
        </w:rPr>
        <w:t>kt</w:t>
      </w:r>
      <w:proofErr w:type="spellEnd"/>
      <w:r w:rsidRPr="00180B8D">
        <w:rPr>
          <w:lang w:val="en-GB"/>
        </w:rPr>
        <w:t xml:space="preserve"> in the </w:t>
      </w:r>
      <w:r w:rsidR="00987038">
        <w:rPr>
          <w:lang w:val="en-GB"/>
        </w:rPr>
        <w:t>pricing</w:t>
      </w:r>
      <w:r w:rsidRPr="00180B8D">
        <w:rPr>
          <w:lang w:val="en-GB"/>
        </w:rPr>
        <w:t xml:space="preserve"> function </w:t>
      </w:r>
      <w:r w:rsidRPr="00180B8D">
        <w:rPr>
          <w:i/>
          <w:lang w:val="en-GB"/>
        </w:rPr>
        <w:t>V</w:t>
      </w:r>
      <w:r w:rsidRPr="00180B8D">
        <w:rPr>
          <w:i/>
          <w:vertAlign w:val="subscript"/>
          <w:lang w:val="en-GB"/>
        </w:rPr>
        <w:t>i</w:t>
      </w:r>
      <w:r w:rsidRPr="00180B8D">
        <w:rPr>
          <w:i/>
          <w:lang w:val="en-GB"/>
        </w:rPr>
        <w:t>.</w:t>
      </w:r>
    </w:p>
    <w:p w14:paraId="35186A30" w14:textId="439C0E9C" w:rsidR="00657236" w:rsidRPr="00180B8D" w:rsidRDefault="00D655E7">
      <w:pPr>
        <w:pStyle w:val="P68B1DB1-Normal2"/>
        <w:spacing w:after="0" w:line="240" w:lineRule="auto"/>
        <w:ind w:firstLine="567"/>
        <w:jc w:val="both"/>
        <w:rPr>
          <w:lang w:val="en-GB"/>
        </w:rPr>
      </w:pPr>
      <w:r w:rsidRPr="00180B8D">
        <w:rPr>
          <w:lang w:val="en-GB"/>
        </w:rPr>
        <w:t xml:space="preserve">63.2. the delta sensitivities to risk factors consisting of inflation rates as well as </w:t>
      </w:r>
      <w:r w:rsidR="00987038">
        <w:rPr>
          <w:lang w:val="en-GB"/>
        </w:rPr>
        <w:t xml:space="preserve">of an </w:t>
      </w:r>
      <w:r w:rsidRPr="00180B8D">
        <w:rPr>
          <w:lang w:val="en-GB"/>
        </w:rPr>
        <w:t>eligible hedge to th</w:t>
      </w:r>
      <w:r w:rsidR="00987038">
        <w:rPr>
          <w:lang w:val="en-GB"/>
        </w:rPr>
        <w:t>ose</w:t>
      </w:r>
      <w:r w:rsidRPr="00180B8D">
        <w:rPr>
          <w:lang w:val="en-GB"/>
        </w:rPr>
        <w:t xml:space="preserve"> risk factors</w:t>
      </w:r>
      <w:r w:rsidR="00987038">
        <w:rPr>
          <w:lang w:val="en-GB"/>
        </w:rPr>
        <w:t>,</w:t>
      </w:r>
      <w:r w:rsidRPr="00180B8D">
        <w:rPr>
          <w:lang w:val="en-GB"/>
        </w:rPr>
        <w:t xml:space="preserve"> shall be calculated as follows:</w:t>
      </w:r>
    </w:p>
    <w:p w14:paraId="04AE8EB4" w14:textId="77777777" w:rsidR="00657236" w:rsidRPr="00180B8D" w:rsidRDefault="00D655E7">
      <w:pPr>
        <w:pStyle w:val="P68B1DB1-Normal2"/>
        <w:spacing w:after="0" w:line="240" w:lineRule="auto"/>
        <w:ind w:firstLine="567"/>
        <w:jc w:val="both"/>
        <w:rPr>
          <w:lang w:val="en-GB"/>
        </w:rPr>
      </w:pPr>
      <w:r w:rsidRPr="00180B8D">
        <w:rPr>
          <w:lang w:val="en-GB"/>
        </w:rPr>
        <w:t> </w:t>
      </w:r>
    </w:p>
    <w:p w14:paraId="37A54C02" w14:textId="5FDFA165" w:rsidR="00657236" w:rsidRPr="00180B8D" w:rsidRDefault="00987038">
      <w:pPr>
        <w:pStyle w:val="P68B1DB1-Normal2"/>
        <w:spacing w:after="0" w:line="240" w:lineRule="auto"/>
        <w:jc w:val="center"/>
        <w:rPr>
          <w:lang w:val="en-GB"/>
        </w:rPr>
      </w:pPr>
      <w:r w:rsidRPr="00987038">
        <w:t xml:space="preserve"> </w:t>
      </w:r>
      <w:r>
        <w:rPr>
          <w:noProof/>
        </w:rPr>
        <w:drawing>
          <wp:inline distT="0" distB="0" distL="0" distR="0" wp14:anchorId="4616CC58" wp14:editId="1B700AD0">
            <wp:extent cx="3999230" cy="437515"/>
            <wp:effectExtent l="0" t="0" r="1270" b="635"/>
            <wp:docPr id="801835841" name="Picture 1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imag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99230" cy="437515"/>
                    </a:xfrm>
                    <a:prstGeom prst="rect">
                      <a:avLst/>
                    </a:prstGeom>
                    <a:noFill/>
                    <a:ln>
                      <a:noFill/>
                    </a:ln>
                  </pic:spPr>
                </pic:pic>
              </a:graphicData>
            </a:graphic>
          </wp:inline>
        </w:drawing>
      </w:r>
    </w:p>
    <w:p w14:paraId="5B61C08B" w14:textId="77777777" w:rsidR="00657236" w:rsidRPr="00180B8D" w:rsidRDefault="00D655E7">
      <w:pPr>
        <w:pStyle w:val="P68B1DB1-Normal2"/>
        <w:spacing w:after="0" w:line="240" w:lineRule="auto"/>
        <w:ind w:firstLine="567"/>
        <w:jc w:val="both"/>
        <w:rPr>
          <w:lang w:val="en-GB"/>
        </w:rPr>
      </w:pPr>
      <w:r w:rsidRPr="00180B8D">
        <w:rPr>
          <w:lang w:val="en-GB"/>
        </w:rPr>
        <w:t> </w:t>
      </w:r>
    </w:p>
    <w:p w14:paraId="502469D7" w14:textId="05B8EB27" w:rsidR="00657236" w:rsidRPr="00180B8D" w:rsidRDefault="00987038">
      <w:pPr>
        <w:pStyle w:val="P68B1DB1-Normal2"/>
        <w:spacing w:after="0" w:line="240" w:lineRule="auto"/>
        <w:jc w:val="center"/>
        <w:rPr>
          <w:lang w:val="en-GB"/>
        </w:rPr>
      </w:pPr>
      <w:r w:rsidRPr="00987038">
        <w:t xml:space="preserve"> </w:t>
      </w:r>
      <w:r>
        <w:rPr>
          <w:noProof/>
        </w:rPr>
        <w:drawing>
          <wp:inline distT="0" distB="0" distL="0" distR="0" wp14:anchorId="0A6769E0" wp14:editId="2A65B8D2">
            <wp:extent cx="4085559" cy="477272"/>
            <wp:effectExtent l="0" t="0" r="0" b="0"/>
            <wp:docPr id="1642240704"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imag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096011" cy="478493"/>
                    </a:xfrm>
                    <a:prstGeom prst="rect">
                      <a:avLst/>
                    </a:prstGeom>
                    <a:noFill/>
                    <a:ln>
                      <a:noFill/>
                    </a:ln>
                  </pic:spPr>
                </pic:pic>
              </a:graphicData>
            </a:graphic>
          </wp:inline>
        </w:drawing>
      </w:r>
    </w:p>
    <w:p w14:paraId="1FFD32AD" w14:textId="77777777" w:rsidR="00657236" w:rsidRPr="00180B8D" w:rsidRDefault="00D655E7">
      <w:pPr>
        <w:pStyle w:val="P68B1DB1-Normal2"/>
        <w:spacing w:after="0" w:line="240" w:lineRule="auto"/>
        <w:ind w:firstLine="567"/>
        <w:jc w:val="both"/>
        <w:rPr>
          <w:lang w:val="en-GB"/>
        </w:rPr>
      </w:pPr>
      <w:r w:rsidRPr="00180B8D">
        <w:rPr>
          <w:lang w:val="en-GB"/>
        </w:rPr>
        <w:t>where:</w:t>
      </w:r>
    </w:p>
    <w:p w14:paraId="4F8DDAF5" w14:textId="1FDDCC1A" w:rsidR="00657236" w:rsidRPr="00180B8D" w:rsidRDefault="00D655E7">
      <w:pPr>
        <w:pStyle w:val="P68B1DB1-Normal2"/>
        <w:spacing w:after="0" w:line="240" w:lineRule="auto"/>
        <w:ind w:firstLine="567"/>
        <w:jc w:val="both"/>
        <w:rPr>
          <w:lang w:val="en-GB"/>
        </w:rPr>
      </w:pPr>
      <w:r w:rsidRPr="00180B8D">
        <w:rPr>
          <w:noProof/>
          <w:lang w:val="en-GB"/>
        </w:rPr>
        <w:drawing>
          <wp:inline distT="0" distB="0" distL="0" distR="0" wp14:anchorId="62337B47" wp14:editId="31B7C080">
            <wp:extent cx="353695" cy="215900"/>
            <wp:effectExtent l="0" t="0" r="825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53695" cy="215900"/>
                    </a:xfrm>
                    <a:prstGeom prst="rect">
                      <a:avLst/>
                    </a:prstGeom>
                    <a:noFill/>
                    <a:ln>
                      <a:noFill/>
                    </a:ln>
                  </pic:spPr>
                </pic:pic>
              </a:graphicData>
            </a:graphic>
          </wp:inline>
        </w:drawing>
      </w:r>
      <w:r w:rsidRPr="00180B8D">
        <w:rPr>
          <w:lang w:val="en-GB"/>
        </w:rPr>
        <w:t xml:space="preserve">= </w:t>
      </w:r>
      <w:r w:rsidR="00987038" w:rsidRPr="00987038">
        <w:t xml:space="preserve">the sensitivities of the aggregate CVA to an inflation rate risk </w:t>
      </w:r>
      <w:proofErr w:type="gramStart"/>
      <w:r w:rsidR="00987038" w:rsidRPr="00987038">
        <w:t>factor</w:t>
      </w:r>
      <w:r w:rsidRPr="00180B8D">
        <w:rPr>
          <w:lang w:val="en-GB"/>
        </w:rPr>
        <w:t>;</w:t>
      </w:r>
      <w:proofErr w:type="gramEnd"/>
    </w:p>
    <w:p w14:paraId="1015C71E" w14:textId="2BAD89EF" w:rsidR="00657236" w:rsidRPr="00180B8D" w:rsidRDefault="00D655E7">
      <w:pPr>
        <w:pStyle w:val="P68B1DB1-Normal2"/>
        <w:spacing w:after="0" w:line="240" w:lineRule="auto"/>
        <w:ind w:firstLine="567"/>
        <w:jc w:val="both"/>
        <w:rPr>
          <w:lang w:val="en-GB"/>
        </w:rPr>
      </w:pPr>
      <w:proofErr w:type="spellStart"/>
      <w:r w:rsidRPr="00180B8D">
        <w:rPr>
          <w:i/>
          <w:lang w:val="en-GB"/>
        </w:rPr>
        <w:t>infl</w:t>
      </w:r>
      <w:r w:rsidRPr="00180B8D">
        <w:rPr>
          <w:i/>
          <w:vertAlign w:val="subscript"/>
          <w:lang w:val="en-GB"/>
        </w:rPr>
        <w:t>kt</w:t>
      </w:r>
      <w:proofErr w:type="spellEnd"/>
      <w:r w:rsidRPr="00180B8D">
        <w:rPr>
          <w:lang w:val="en-GB"/>
        </w:rPr>
        <w:t xml:space="preserve"> = </w:t>
      </w:r>
      <w:r w:rsidR="00987038" w:rsidRPr="00987038">
        <w:t>the value of an inflation rate risk factor k with maturity</w:t>
      </w:r>
      <w:r w:rsidR="00987038">
        <w:t xml:space="preserve"> </w:t>
      </w:r>
      <w:proofErr w:type="gramStart"/>
      <w:r w:rsidRPr="00180B8D">
        <w:rPr>
          <w:i/>
          <w:lang w:val="en-GB"/>
        </w:rPr>
        <w:t>t;</w:t>
      </w:r>
      <w:proofErr w:type="gramEnd"/>
    </w:p>
    <w:p w14:paraId="2E8482C5" w14:textId="6F34D619"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CVA</w:t>
      </w:r>
      <w:r w:rsidRPr="00180B8D">
        <w:rPr>
          <w:lang w:val="en-GB"/>
        </w:rPr>
        <w:t xml:space="preserve"> = </w:t>
      </w:r>
      <w:r w:rsidR="00987038" w:rsidRPr="00987038">
        <w:t xml:space="preserve">the aggregate CVA calculated by the regulatory CVA </w:t>
      </w:r>
      <w:proofErr w:type="gramStart"/>
      <w:r w:rsidR="00987038" w:rsidRPr="00987038">
        <w:t>model</w:t>
      </w:r>
      <w:r w:rsidRPr="00180B8D">
        <w:rPr>
          <w:lang w:val="en-GB"/>
        </w:rPr>
        <w:t>;</w:t>
      </w:r>
      <w:proofErr w:type="gramEnd"/>
    </w:p>
    <w:p w14:paraId="2C99943D" w14:textId="3872E38B" w:rsidR="00657236" w:rsidRPr="00180B8D" w:rsidRDefault="00D655E7">
      <w:pPr>
        <w:pStyle w:val="P68B1DB1-Normal2"/>
        <w:spacing w:after="0" w:line="240" w:lineRule="auto"/>
        <w:ind w:firstLine="567"/>
        <w:jc w:val="both"/>
        <w:rPr>
          <w:lang w:val="en-GB"/>
        </w:rPr>
      </w:pPr>
      <w:r w:rsidRPr="00180B8D">
        <w:rPr>
          <w:i/>
          <w:lang w:val="en-GB"/>
        </w:rPr>
        <w:t>x, y</w:t>
      </w:r>
      <w:r w:rsidRPr="00180B8D">
        <w:rPr>
          <w:lang w:val="en-GB"/>
        </w:rPr>
        <w:t xml:space="preserve"> = </w:t>
      </w:r>
      <w:r w:rsidR="00987038" w:rsidRPr="00987038">
        <w:t>risk factors other than</w:t>
      </w:r>
      <w:r w:rsidR="00987038">
        <w:t xml:space="preserve"> </w:t>
      </w:r>
      <w:proofErr w:type="spellStart"/>
      <w:r w:rsidRPr="00180B8D">
        <w:rPr>
          <w:i/>
          <w:lang w:val="en-GB"/>
        </w:rPr>
        <w:t>infl</w:t>
      </w:r>
      <w:r w:rsidRPr="00180B8D">
        <w:rPr>
          <w:i/>
          <w:vertAlign w:val="subscript"/>
          <w:lang w:val="en-GB"/>
        </w:rPr>
        <w:t>kt</w:t>
      </w:r>
      <w:proofErr w:type="spellEnd"/>
      <w:r w:rsidRPr="00180B8D">
        <w:rPr>
          <w:lang w:val="en-GB"/>
        </w:rPr>
        <w:t xml:space="preserve"> in </w:t>
      </w:r>
      <w:proofErr w:type="gramStart"/>
      <w:r w:rsidRPr="00180B8D">
        <w:rPr>
          <w:i/>
          <w:lang w:val="en-GB"/>
        </w:rPr>
        <w:t>V</w:t>
      </w:r>
      <w:r w:rsidRPr="00180B8D">
        <w:rPr>
          <w:i/>
          <w:vertAlign w:val="subscript"/>
          <w:lang w:val="en-GB"/>
        </w:rPr>
        <w:t>CVA</w:t>
      </w:r>
      <w:r w:rsidRPr="00180B8D">
        <w:rPr>
          <w:lang w:val="en-GB"/>
        </w:rPr>
        <w:t>;</w:t>
      </w:r>
      <w:proofErr w:type="gramEnd"/>
    </w:p>
    <w:p w14:paraId="1AD8A561" w14:textId="6C0DD6FA" w:rsidR="00657236" w:rsidRPr="00180B8D" w:rsidRDefault="00987038">
      <w:pPr>
        <w:pStyle w:val="P68B1DB1-Normal2"/>
        <w:spacing w:after="0" w:line="240" w:lineRule="auto"/>
        <w:ind w:firstLine="567"/>
        <w:jc w:val="both"/>
        <w:rPr>
          <w:lang w:val="en-GB"/>
        </w:rPr>
      </w:pPr>
      <w:r>
        <w:rPr>
          <w:noProof/>
        </w:rPr>
        <w:drawing>
          <wp:inline distT="0" distB="0" distL="0" distR="0" wp14:anchorId="706B0FB4" wp14:editId="528744C2">
            <wp:extent cx="469265" cy="254635"/>
            <wp:effectExtent l="0" t="0" r="6985" b="0"/>
            <wp:docPr id="73145987" name="Picture 2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mag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9265" cy="254635"/>
                    </a:xfrm>
                    <a:prstGeom prst="rect">
                      <a:avLst/>
                    </a:prstGeom>
                    <a:noFill/>
                    <a:ln>
                      <a:noFill/>
                    </a:ln>
                  </pic:spPr>
                </pic:pic>
              </a:graphicData>
            </a:graphic>
          </wp:inline>
        </w:drawing>
      </w:r>
      <w:r w:rsidRPr="00180B8D">
        <w:rPr>
          <w:lang w:val="en-GB"/>
        </w:rPr>
        <w:t xml:space="preserve">= the sensitivities of the eligible hedge </w:t>
      </w:r>
      <w:r w:rsidRPr="00987038">
        <w:rPr>
          <w:i/>
          <w:iCs/>
          <w:lang w:val="en-GB"/>
        </w:rPr>
        <w:t xml:space="preserve">i </w:t>
      </w:r>
      <w:r w:rsidRPr="00180B8D">
        <w:rPr>
          <w:lang w:val="en-GB"/>
        </w:rPr>
        <w:t xml:space="preserve">to an inflation rate risk </w:t>
      </w:r>
      <w:proofErr w:type="gramStart"/>
      <w:r w:rsidRPr="00180B8D">
        <w:rPr>
          <w:lang w:val="en-GB"/>
        </w:rPr>
        <w:t>factor;</w:t>
      </w:r>
      <w:proofErr w:type="gramEnd"/>
    </w:p>
    <w:p w14:paraId="044D3D14" w14:textId="77777777"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 xml:space="preserve"> i</w:t>
      </w:r>
      <w:r w:rsidRPr="00180B8D">
        <w:rPr>
          <w:lang w:val="en-GB"/>
        </w:rPr>
        <w:t xml:space="preserve"> = the function for assessing eligible coverage </w:t>
      </w:r>
      <w:proofErr w:type="gramStart"/>
      <w:r w:rsidRPr="00987038">
        <w:rPr>
          <w:i/>
          <w:iCs/>
          <w:lang w:val="en-GB"/>
        </w:rPr>
        <w:t>i</w:t>
      </w:r>
      <w:r w:rsidRPr="00180B8D">
        <w:rPr>
          <w:lang w:val="en-GB"/>
        </w:rPr>
        <w:t>;</w:t>
      </w:r>
      <w:proofErr w:type="gramEnd"/>
    </w:p>
    <w:p w14:paraId="222CDCA5" w14:textId="7C954C9E" w:rsidR="00657236" w:rsidRPr="00180B8D" w:rsidRDefault="00D655E7">
      <w:pPr>
        <w:pStyle w:val="P68B1DB1-Normal2"/>
        <w:spacing w:after="0" w:line="240" w:lineRule="auto"/>
        <w:ind w:firstLine="567"/>
        <w:jc w:val="both"/>
        <w:rPr>
          <w:lang w:val="en-GB"/>
        </w:rPr>
      </w:pPr>
      <w:r w:rsidRPr="00180B8D">
        <w:rPr>
          <w:i/>
          <w:lang w:val="en-GB"/>
        </w:rPr>
        <w:t>w, z</w:t>
      </w:r>
      <w:r w:rsidRPr="00180B8D">
        <w:rPr>
          <w:lang w:val="en-GB"/>
        </w:rPr>
        <w:t xml:space="preserve"> = risk factors other than </w:t>
      </w:r>
      <w:proofErr w:type="spellStart"/>
      <w:r w:rsidRPr="00180B8D">
        <w:rPr>
          <w:i/>
          <w:lang w:val="en-GB"/>
        </w:rPr>
        <w:t>infl</w:t>
      </w:r>
      <w:r w:rsidRPr="00180B8D">
        <w:rPr>
          <w:i/>
          <w:vertAlign w:val="subscript"/>
          <w:lang w:val="en-GB"/>
        </w:rPr>
        <w:t>kt</w:t>
      </w:r>
      <w:proofErr w:type="spellEnd"/>
      <w:r w:rsidRPr="00180B8D">
        <w:rPr>
          <w:lang w:val="en-GB"/>
        </w:rPr>
        <w:t xml:space="preserve"> in </w:t>
      </w:r>
      <w:r w:rsidR="00987038" w:rsidRPr="00987038">
        <w:t>the pricing function</w:t>
      </w:r>
      <w:r w:rsidR="00987038">
        <w:t xml:space="preserve"> </w:t>
      </w:r>
      <w:r w:rsidRPr="00180B8D">
        <w:rPr>
          <w:i/>
          <w:lang w:val="en-GB"/>
        </w:rPr>
        <w:t>V</w:t>
      </w:r>
      <w:r w:rsidRPr="00180B8D">
        <w:rPr>
          <w:i/>
          <w:vertAlign w:val="subscript"/>
          <w:lang w:val="en-GB"/>
        </w:rPr>
        <w:t>i</w:t>
      </w:r>
      <w:r w:rsidRPr="00180B8D">
        <w:rPr>
          <w:lang w:val="en-GB"/>
        </w:rPr>
        <w:t>.</w:t>
      </w:r>
    </w:p>
    <w:p w14:paraId="2E195825" w14:textId="77777777" w:rsidR="00657236" w:rsidRPr="00180B8D" w:rsidRDefault="00D655E7">
      <w:pPr>
        <w:pStyle w:val="P68B1DB1-Normal2"/>
        <w:spacing w:after="0" w:line="240" w:lineRule="auto"/>
        <w:ind w:firstLine="567"/>
        <w:jc w:val="both"/>
        <w:rPr>
          <w:lang w:val="en-GB"/>
        </w:rPr>
      </w:pPr>
      <w:r w:rsidRPr="00180B8D">
        <w:rPr>
          <w:lang w:val="en-GB"/>
        </w:rPr>
        <w:t> </w:t>
      </w:r>
    </w:p>
    <w:p w14:paraId="1D5751BE" w14:textId="261FD2E7" w:rsidR="00657236" w:rsidRPr="00180B8D" w:rsidRDefault="00D655E7">
      <w:pPr>
        <w:pStyle w:val="P68B1DB1-Normal2"/>
        <w:spacing w:after="0" w:line="240" w:lineRule="auto"/>
        <w:ind w:firstLine="567"/>
        <w:jc w:val="both"/>
        <w:rPr>
          <w:lang w:val="en-GB"/>
        </w:rPr>
      </w:pPr>
      <w:r w:rsidRPr="00180B8D">
        <w:rPr>
          <w:b/>
          <w:lang w:val="en-GB"/>
        </w:rPr>
        <w:t>64.</w:t>
      </w:r>
      <w:r w:rsidRPr="00180B8D">
        <w:rPr>
          <w:lang w:val="en-GB"/>
        </w:rPr>
        <w:t xml:space="preserve"> Banks shall calculate the delta sensitivities of the aggregate CVA to risk factors consisting of </w:t>
      </w:r>
      <w:r w:rsidR="002C32FF" w:rsidRPr="00180B8D">
        <w:rPr>
          <w:lang w:val="en-GB"/>
        </w:rPr>
        <w:t xml:space="preserve">foreign exchange </w:t>
      </w:r>
      <w:r w:rsidRPr="00180B8D">
        <w:rPr>
          <w:lang w:val="en-GB"/>
        </w:rPr>
        <w:t>spot rates as well as of a</w:t>
      </w:r>
      <w:r w:rsidR="002C32FF">
        <w:rPr>
          <w:lang w:val="en-GB"/>
        </w:rPr>
        <w:t>n</w:t>
      </w:r>
      <w:r w:rsidRPr="00180B8D">
        <w:rPr>
          <w:lang w:val="en-GB"/>
        </w:rPr>
        <w:t xml:space="preserve"> </w:t>
      </w:r>
      <w:r w:rsidR="002C32FF" w:rsidRPr="00180B8D">
        <w:rPr>
          <w:lang w:val="en-GB"/>
        </w:rPr>
        <w:t xml:space="preserve">eligible </w:t>
      </w:r>
      <w:r w:rsidRPr="00180B8D">
        <w:rPr>
          <w:lang w:val="en-GB"/>
        </w:rPr>
        <w:t>hedg</w:t>
      </w:r>
      <w:r w:rsidR="002C32FF">
        <w:rPr>
          <w:lang w:val="en-GB"/>
        </w:rPr>
        <w:t>e</w:t>
      </w:r>
      <w:r w:rsidRPr="00180B8D">
        <w:rPr>
          <w:lang w:val="en-GB"/>
        </w:rPr>
        <w:t xml:space="preserve"> instrument </w:t>
      </w:r>
      <w:r w:rsidR="002C32FF">
        <w:rPr>
          <w:lang w:val="en-GB"/>
        </w:rPr>
        <w:t>to</w:t>
      </w:r>
      <w:r w:rsidRPr="00180B8D">
        <w:rPr>
          <w:lang w:val="en-GB"/>
        </w:rPr>
        <w:t xml:space="preserve"> th</w:t>
      </w:r>
      <w:r w:rsidR="002C32FF">
        <w:rPr>
          <w:lang w:val="en-GB"/>
        </w:rPr>
        <w:t>ose</w:t>
      </w:r>
      <w:r w:rsidRPr="00180B8D">
        <w:rPr>
          <w:lang w:val="en-GB"/>
        </w:rPr>
        <w:t xml:space="preserve"> risk factors</w:t>
      </w:r>
      <w:r w:rsidR="002C32FF">
        <w:rPr>
          <w:lang w:val="en-GB"/>
        </w:rPr>
        <w:t>,</w:t>
      </w:r>
      <w:r w:rsidRPr="00180B8D">
        <w:rPr>
          <w:lang w:val="en-GB"/>
        </w:rPr>
        <w:t xml:space="preserve"> as follows:</w:t>
      </w:r>
    </w:p>
    <w:p w14:paraId="39E7B8BF" w14:textId="77777777" w:rsidR="00657236" w:rsidRPr="00180B8D" w:rsidRDefault="00D655E7">
      <w:pPr>
        <w:pStyle w:val="P68B1DB1-Normal2"/>
        <w:spacing w:after="0" w:line="240" w:lineRule="auto"/>
        <w:ind w:firstLine="567"/>
        <w:jc w:val="both"/>
        <w:rPr>
          <w:lang w:val="en-GB"/>
        </w:rPr>
      </w:pPr>
      <w:r w:rsidRPr="00180B8D">
        <w:rPr>
          <w:lang w:val="en-GB"/>
        </w:rPr>
        <w:t> </w:t>
      </w:r>
    </w:p>
    <w:p w14:paraId="09A73F3F" w14:textId="0F39320E" w:rsidR="00657236" w:rsidRPr="00180B8D" w:rsidRDefault="002C32FF">
      <w:pPr>
        <w:pStyle w:val="P68B1DB1-Normal2"/>
        <w:spacing w:after="0" w:line="240" w:lineRule="auto"/>
        <w:jc w:val="center"/>
        <w:rPr>
          <w:lang w:val="en-GB"/>
        </w:rPr>
      </w:pPr>
      <w:r>
        <w:rPr>
          <w:noProof/>
        </w:rPr>
        <w:drawing>
          <wp:inline distT="0" distB="0" distL="0" distR="0" wp14:anchorId="08021416" wp14:editId="536E88E9">
            <wp:extent cx="4349334" cy="556592"/>
            <wp:effectExtent l="0" t="0" r="0" b="0"/>
            <wp:docPr id="1404463261" name="Picture 2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ag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362118" cy="558228"/>
                    </a:xfrm>
                    <a:prstGeom prst="rect">
                      <a:avLst/>
                    </a:prstGeom>
                    <a:noFill/>
                    <a:ln>
                      <a:noFill/>
                    </a:ln>
                  </pic:spPr>
                </pic:pic>
              </a:graphicData>
            </a:graphic>
          </wp:inline>
        </w:drawing>
      </w:r>
    </w:p>
    <w:p w14:paraId="70320EC7" w14:textId="77777777" w:rsidR="00657236" w:rsidRPr="00180B8D" w:rsidRDefault="00D655E7">
      <w:pPr>
        <w:pStyle w:val="P68B1DB1-Normal2"/>
        <w:spacing w:after="0" w:line="240" w:lineRule="auto"/>
        <w:ind w:firstLine="567"/>
        <w:jc w:val="both"/>
        <w:rPr>
          <w:lang w:val="en-GB"/>
        </w:rPr>
      </w:pPr>
      <w:r w:rsidRPr="00180B8D">
        <w:rPr>
          <w:lang w:val="en-GB"/>
        </w:rPr>
        <w:t> </w:t>
      </w:r>
    </w:p>
    <w:p w14:paraId="4B6DDFA7" w14:textId="2CFDF047" w:rsidR="00657236" w:rsidRPr="00180B8D" w:rsidRDefault="002C32FF">
      <w:pPr>
        <w:pStyle w:val="P68B1DB1-Normal2"/>
        <w:spacing w:after="0" w:line="240" w:lineRule="auto"/>
        <w:jc w:val="center"/>
        <w:rPr>
          <w:lang w:val="en-GB"/>
        </w:rPr>
      </w:pPr>
      <w:r w:rsidRPr="002C32FF">
        <w:t xml:space="preserve"> </w:t>
      </w:r>
      <w:r>
        <w:rPr>
          <w:noProof/>
        </w:rPr>
        <w:drawing>
          <wp:inline distT="0" distB="0" distL="0" distR="0" wp14:anchorId="3B2A3C7D" wp14:editId="3BE30D7E">
            <wp:extent cx="4194691" cy="560213"/>
            <wp:effectExtent l="0" t="0" r="0" b="0"/>
            <wp:docPr id="174233015" name="Picture 2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imag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235974" cy="565726"/>
                    </a:xfrm>
                    <a:prstGeom prst="rect">
                      <a:avLst/>
                    </a:prstGeom>
                    <a:noFill/>
                    <a:ln>
                      <a:noFill/>
                    </a:ln>
                  </pic:spPr>
                </pic:pic>
              </a:graphicData>
            </a:graphic>
          </wp:inline>
        </w:drawing>
      </w:r>
    </w:p>
    <w:p w14:paraId="5129F125" w14:textId="77777777" w:rsidR="00657236" w:rsidRPr="00180B8D" w:rsidRDefault="00D655E7">
      <w:pPr>
        <w:pStyle w:val="P68B1DB1-Normal2"/>
        <w:spacing w:after="0" w:line="240" w:lineRule="auto"/>
        <w:ind w:firstLine="567"/>
        <w:jc w:val="both"/>
        <w:rPr>
          <w:lang w:val="en-GB"/>
        </w:rPr>
      </w:pPr>
      <w:r w:rsidRPr="00180B8D">
        <w:rPr>
          <w:lang w:val="en-GB"/>
        </w:rPr>
        <w:t>where:</w:t>
      </w:r>
    </w:p>
    <w:p w14:paraId="5114EC5C" w14:textId="29A49493" w:rsidR="00657236" w:rsidRPr="00180B8D" w:rsidRDefault="00D655E7">
      <w:pPr>
        <w:pStyle w:val="P68B1DB1-Normal2"/>
        <w:spacing w:after="0" w:line="240" w:lineRule="auto"/>
        <w:ind w:firstLine="567"/>
        <w:jc w:val="both"/>
        <w:rPr>
          <w:lang w:val="en-GB"/>
        </w:rPr>
      </w:pPr>
      <w:r w:rsidRPr="00180B8D">
        <w:rPr>
          <w:noProof/>
          <w:lang w:val="en-GB"/>
        </w:rPr>
        <w:drawing>
          <wp:inline distT="0" distB="0" distL="0" distR="0" wp14:anchorId="58A02D03" wp14:editId="179C182C">
            <wp:extent cx="319405" cy="198120"/>
            <wp:effectExtent l="0" t="0" r="444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9405" cy="198120"/>
                    </a:xfrm>
                    <a:prstGeom prst="rect">
                      <a:avLst/>
                    </a:prstGeom>
                    <a:noFill/>
                    <a:ln>
                      <a:noFill/>
                    </a:ln>
                  </pic:spPr>
                </pic:pic>
              </a:graphicData>
            </a:graphic>
          </wp:inline>
        </w:drawing>
      </w:r>
      <w:r w:rsidRPr="00180B8D">
        <w:rPr>
          <w:lang w:val="en-GB"/>
        </w:rPr>
        <w:t xml:space="preserve">= </w:t>
      </w:r>
      <w:r w:rsidR="002C32FF" w:rsidRPr="002C32FF">
        <w:t xml:space="preserve">the sensitivities of the aggregate CVA to a foreign exchange spot rate risk </w:t>
      </w:r>
      <w:proofErr w:type="gramStart"/>
      <w:r w:rsidR="002C32FF" w:rsidRPr="002C32FF">
        <w:t>factor</w:t>
      </w:r>
      <w:r w:rsidRPr="00180B8D">
        <w:rPr>
          <w:lang w:val="en-GB"/>
        </w:rPr>
        <w:t>;</w:t>
      </w:r>
      <w:proofErr w:type="gramEnd"/>
    </w:p>
    <w:p w14:paraId="2ABC700C" w14:textId="3D45506A" w:rsidR="00657236" w:rsidRPr="00180B8D" w:rsidRDefault="00D655E7">
      <w:pPr>
        <w:pStyle w:val="P68B1DB1-Normal2"/>
        <w:spacing w:after="0" w:line="240" w:lineRule="auto"/>
        <w:ind w:firstLine="567"/>
        <w:jc w:val="both"/>
        <w:rPr>
          <w:lang w:val="en-GB"/>
        </w:rPr>
      </w:pPr>
      <w:proofErr w:type="spellStart"/>
      <w:r w:rsidRPr="00180B8D">
        <w:rPr>
          <w:i/>
          <w:lang w:val="en-GB"/>
        </w:rPr>
        <w:t>FX</w:t>
      </w:r>
      <w:r w:rsidRPr="00180B8D">
        <w:rPr>
          <w:i/>
          <w:vertAlign w:val="subscript"/>
          <w:lang w:val="en-GB"/>
        </w:rPr>
        <w:t>k</w:t>
      </w:r>
      <w:proofErr w:type="spellEnd"/>
      <w:r w:rsidRPr="00180B8D">
        <w:rPr>
          <w:lang w:val="en-GB"/>
        </w:rPr>
        <w:t xml:space="preserve"> = </w:t>
      </w:r>
      <w:r w:rsidR="002C32FF" w:rsidRPr="002C32FF">
        <w:t xml:space="preserve">the value of the foreign exchange spot rate risk factor </w:t>
      </w:r>
      <w:proofErr w:type="gramStart"/>
      <w:r w:rsidR="002C32FF" w:rsidRPr="002C32FF">
        <w:t>k</w:t>
      </w:r>
      <w:r w:rsidRPr="00180B8D">
        <w:rPr>
          <w:lang w:val="en-GB"/>
        </w:rPr>
        <w:t>;</w:t>
      </w:r>
      <w:proofErr w:type="gramEnd"/>
    </w:p>
    <w:p w14:paraId="1A23420C" w14:textId="272ABD4A"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CVA</w:t>
      </w:r>
      <w:r w:rsidRPr="00180B8D">
        <w:rPr>
          <w:lang w:val="en-GB"/>
        </w:rPr>
        <w:t xml:space="preserve"> = Aggregated CVA calculated on the basis of the regulatory CVA </w:t>
      </w:r>
      <w:proofErr w:type="gramStart"/>
      <w:r w:rsidRPr="00180B8D">
        <w:rPr>
          <w:lang w:val="en-GB"/>
        </w:rPr>
        <w:t>model;</w:t>
      </w:r>
      <w:proofErr w:type="gramEnd"/>
    </w:p>
    <w:p w14:paraId="55A976FD" w14:textId="57ECDBCA" w:rsidR="00657236" w:rsidRPr="00180B8D" w:rsidRDefault="00D655E7">
      <w:pPr>
        <w:pStyle w:val="P68B1DB1-Normal2"/>
        <w:spacing w:after="0" w:line="240" w:lineRule="auto"/>
        <w:ind w:firstLine="567"/>
        <w:jc w:val="both"/>
        <w:rPr>
          <w:lang w:val="en-GB"/>
        </w:rPr>
      </w:pPr>
      <w:r w:rsidRPr="00180B8D">
        <w:rPr>
          <w:i/>
          <w:lang w:val="en-GB"/>
        </w:rPr>
        <w:t>x, y</w:t>
      </w:r>
      <w:r w:rsidRPr="00180B8D">
        <w:rPr>
          <w:lang w:val="en-GB"/>
        </w:rPr>
        <w:t xml:space="preserve"> = risk factors other than </w:t>
      </w:r>
      <w:r w:rsidRPr="00180B8D">
        <w:rPr>
          <w:i/>
          <w:lang w:val="en-GB"/>
        </w:rPr>
        <w:t>FX</w:t>
      </w:r>
      <w:r w:rsidRPr="00180B8D">
        <w:rPr>
          <w:i/>
          <w:vertAlign w:val="subscript"/>
          <w:lang w:val="en-GB"/>
        </w:rPr>
        <w:t xml:space="preserve"> k</w:t>
      </w:r>
      <w:r w:rsidRPr="00180B8D">
        <w:rPr>
          <w:lang w:val="en-GB"/>
        </w:rPr>
        <w:t xml:space="preserve"> in </w:t>
      </w:r>
      <w:proofErr w:type="gramStart"/>
      <w:r w:rsidRPr="00180B8D">
        <w:rPr>
          <w:i/>
          <w:lang w:val="en-GB"/>
        </w:rPr>
        <w:t>V</w:t>
      </w:r>
      <w:r w:rsidRPr="00180B8D">
        <w:rPr>
          <w:i/>
          <w:vertAlign w:val="subscript"/>
          <w:lang w:val="en-GB"/>
        </w:rPr>
        <w:t>CVA</w:t>
      </w:r>
      <w:r w:rsidRPr="00180B8D">
        <w:rPr>
          <w:lang w:val="en-GB"/>
        </w:rPr>
        <w:t>;</w:t>
      </w:r>
      <w:proofErr w:type="gramEnd"/>
    </w:p>
    <w:p w14:paraId="61469D54" w14:textId="70D3B962" w:rsidR="00657236" w:rsidRPr="00180B8D" w:rsidRDefault="005739B0">
      <w:pPr>
        <w:pStyle w:val="P68B1DB1-Normal2"/>
        <w:spacing w:after="0" w:line="240" w:lineRule="auto"/>
        <w:ind w:firstLine="567"/>
        <w:jc w:val="both"/>
        <w:rPr>
          <w:lang w:val="en-GB"/>
        </w:rPr>
      </w:pPr>
      <w:r>
        <w:rPr>
          <w:noProof/>
        </w:rPr>
        <w:drawing>
          <wp:inline distT="0" distB="0" distL="0" distR="0" wp14:anchorId="77B64859" wp14:editId="78619A6F">
            <wp:extent cx="508635" cy="254635"/>
            <wp:effectExtent l="0" t="0" r="5715" b="0"/>
            <wp:docPr id="980776088" name="Picture 2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imag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8635" cy="254635"/>
                    </a:xfrm>
                    <a:prstGeom prst="rect">
                      <a:avLst/>
                    </a:prstGeom>
                    <a:noFill/>
                    <a:ln>
                      <a:noFill/>
                    </a:ln>
                  </pic:spPr>
                </pic:pic>
              </a:graphicData>
            </a:graphic>
          </wp:inline>
        </w:drawing>
      </w:r>
      <w:r w:rsidRPr="00180B8D">
        <w:rPr>
          <w:lang w:val="en-GB"/>
        </w:rPr>
        <w:t xml:space="preserve">= </w:t>
      </w:r>
      <w:r w:rsidRPr="005739B0">
        <w:t xml:space="preserve">the sensitivities of the eligible hedge i to a foreign exchange spot rate risk </w:t>
      </w:r>
      <w:proofErr w:type="gramStart"/>
      <w:r w:rsidRPr="005739B0">
        <w:t>factor</w:t>
      </w:r>
      <w:r w:rsidRPr="00180B8D">
        <w:rPr>
          <w:lang w:val="en-GB"/>
        </w:rPr>
        <w:t>;</w:t>
      </w:r>
      <w:proofErr w:type="gramEnd"/>
    </w:p>
    <w:p w14:paraId="6D0E7C0D" w14:textId="6FDE6E0F"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i</w:t>
      </w:r>
      <w:r w:rsidRPr="00180B8D">
        <w:rPr>
          <w:lang w:val="en-GB"/>
        </w:rPr>
        <w:t xml:space="preserve"> = </w:t>
      </w:r>
      <w:r w:rsidR="005739B0" w:rsidRPr="005739B0">
        <w:t>the pricing function of the eligible hedge</w:t>
      </w:r>
      <w:r w:rsidR="005739B0">
        <w:t xml:space="preserve"> </w:t>
      </w:r>
      <w:proofErr w:type="gramStart"/>
      <w:r w:rsidRPr="005739B0">
        <w:rPr>
          <w:i/>
          <w:iCs/>
          <w:lang w:val="en-GB"/>
        </w:rPr>
        <w:t>i</w:t>
      </w:r>
      <w:r w:rsidRPr="00180B8D">
        <w:rPr>
          <w:lang w:val="en-GB"/>
        </w:rPr>
        <w:t>;</w:t>
      </w:r>
      <w:proofErr w:type="gramEnd"/>
    </w:p>
    <w:p w14:paraId="5FB9E513" w14:textId="00A373AE" w:rsidR="00657236" w:rsidRPr="00180B8D" w:rsidRDefault="00D655E7">
      <w:pPr>
        <w:pStyle w:val="P68B1DB1-Normal2"/>
        <w:spacing w:after="0" w:line="240" w:lineRule="auto"/>
        <w:ind w:firstLine="567"/>
        <w:jc w:val="both"/>
        <w:rPr>
          <w:lang w:val="en-GB"/>
        </w:rPr>
      </w:pPr>
      <w:r w:rsidRPr="00180B8D">
        <w:rPr>
          <w:i/>
          <w:lang w:val="en-GB"/>
        </w:rPr>
        <w:t>w, z</w:t>
      </w:r>
      <w:r w:rsidRPr="00180B8D">
        <w:rPr>
          <w:lang w:val="en-GB"/>
        </w:rPr>
        <w:t xml:space="preserve"> = risk factors other than </w:t>
      </w:r>
      <w:r w:rsidRPr="00180B8D">
        <w:rPr>
          <w:i/>
          <w:lang w:val="en-GB"/>
        </w:rPr>
        <w:t>FX</w:t>
      </w:r>
      <w:r w:rsidRPr="00180B8D">
        <w:rPr>
          <w:i/>
          <w:vertAlign w:val="subscript"/>
          <w:lang w:val="en-GB"/>
        </w:rPr>
        <w:t xml:space="preserve"> k</w:t>
      </w:r>
      <w:r w:rsidRPr="00180B8D">
        <w:rPr>
          <w:lang w:val="en-GB"/>
        </w:rPr>
        <w:t xml:space="preserve"> in </w:t>
      </w:r>
      <w:r w:rsidR="005739B0" w:rsidRPr="005739B0">
        <w:t>the pricing</w:t>
      </w:r>
      <w:r w:rsidR="005739B0">
        <w:t xml:space="preserve"> </w:t>
      </w:r>
      <w:r w:rsidRPr="00180B8D">
        <w:rPr>
          <w:lang w:val="en-GB"/>
        </w:rPr>
        <w:t xml:space="preserve">function </w:t>
      </w:r>
      <w:r w:rsidRPr="00180B8D">
        <w:rPr>
          <w:i/>
          <w:lang w:val="en-GB"/>
        </w:rPr>
        <w:t>V</w:t>
      </w:r>
      <w:r w:rsidRPr="00180B8D">
        <w:rPr>
          <w:i/>
          <w:vertAlign w:val="subscript"/>
          <w:lang w:val="en-GB"/>
        </w:rPr>
        <w:t>i</w:t>
      </w:r>
      <w:r w:rsidRPr="00180B8D">
        <w:rPr>
          <w:lang w:val="en-GB"/>
        </w:rPr>
        <w:t>.</w:t>
      </w:r>
    </w:p>
    <w:p w14:paraId="7995E889" w14:textId="77777777" w:rsidR="00657236" w:rsidRPr="00180B8D" w:rsidRDefault="00D655E7">
      <w:pPr>
        <w:pStyle w:val="P68B1DB1-Normal2"/>
        <w:spacing w:after="0" w:line="240" w:lineRule="auto"/>
        <w:ind w:firstLine="567"/>
        <w:jc w:val="both"/>
        <w:rPr>
          <w:lang w:val="en-GB"/>
        </w:rPr>
      </w:pPr>
      <w:r w:rsidRPr="00180B8D">
        <w:rPr>
          <w:lang w:val="en-GB"/>
        </w:rPr>
        <w:t> </w:t>
      </w:r>
    </w:p>
    <w:p w14:paraId="0706B96C" w14:textId="7C2BB25E" w:rsidR="00657236" w:rsidRPr="00180B8D" w:rsidRDefault="00D655E7">
      <w:pPr>
        <w:pStyle w:val="P68B1DB1-Normal2"/>
        <w:spacing w:after="0" w:line="240" w:lineRule="auto"/>
        <w:ind w:firstLine="567"/>
        <w:jc w:val="both"/>
        <w:rPr>
          <w:lang w:val="en-GB"/>
        </w:rPr>
      </w:pPr>
      <w:r w:rsidRPr="00180B8D">
        <w:rPr>
          <w:b/>
          <w:lang w:val="en-GB"/>
        </w:rPr>
        <w:t>65.</w:t>
      </w:r>
      <w:r w:rsidRPr="00180B8D">
        <w:rPr>
          <w:lang w:val="en-GB"/>
        </w:rPr>
        <w:t xml:space="preserve"> Banks shall calculate the delta sensitivities of the aggregate CVA to risk factors consisting of the </w:t>
      </w:r>
      <w:r w:rsidR="00D77A08" w:rsidRPr="00180B8D">
        <w:rPr>
          <w:lang w:val="en-GB"/>
        </w:rPr>
        <w:t xml:space="preserve">counterparty </w:t>
      </w:r>
      <w:r w:rsidRPr="00180B8D">
        <w:rPr>
          <w:lang w:val="en-GB"/>
        </w:rPr>
        <w:t>credit spread rates</w:t>
      </w:r>
      <w:r w:rsidR="00D77A08">
        <w:rPr>
          <w:lang w:val="en-GB"/>
        </w:rPr>
        <w:t>,</w:t>
      </w:r>
      <w:r w:rsidRPr="00180B8D">
        <w:rPr>
          <w:lang w:val="en-GB"/>
        </w:rPr>
        <w:t xml:space="preserve"> as well as of an eligible hedg</w:t>
      </w:r>
      <w:r w:rsidR="00D77A08">
        <w:rPr>
          <w:lang w:val="en-GB"/>
        </w:rPr>
        <w:t>e</w:t>
      </w:r>
      <w:r w:rsidRPr="00180B8D">
        <w:rPr>
          <w:lang w:val="en-GB"/>
        </w:rPr>
        <w:t xml:space="preserve"> instrument to th</w:t>
      </w:r>
      <w:r w:rsidR="00D77A08">
        <w:rPr>
          <w:lang w:val="en-GB"/>
        </w:rPr>
        <w:t>o</w:t>
      </w:r>
      <w:r w:rsidRPr="00180B8D">
        <w:rPr>
          <w:lang w:val="en-GB"/>
        </w:rPr>
        <w:t>se risk factors</w:t>
      </w:r>
      <w:r w:rsidR="00D77A08">
        <w:rPr>
          <w:lang w:val="en-GB"/>
        </w:rPr>
        <w:t>,</w:t>
      </w:r>
      <w:r w:rsidRPr="00180B8D">
        <w:rPr>
          <w:lang w:val="en-GB"/>
        </w:rPr>
        <w:t xml:space="preserve"> as follows:</w:t>
      </w:r>
    </w:p>
    <w:p w14:paraId="28041C35" w14:textId="77777777" w:rsidR="00657236" w:rsidRPr="00180B8D" w:rsidRDefault="00D655E7">
      <w:pPr>
        <w:pStyle w:val="P68B1DB1-Normal2"/>
        <w:spacing w:after="0" w:line="240" w:lineRule="auto"/>
        <w:ind w:firstLine="567"/>
        <w:jc w:val="both"/>
        <w:rPr>
          <w:lang w:val="en-GB"/>
        </w:rPr>
      </w:pPr>
      <w:r w:rsidRPr="00180B8D">
        <w:rPr>
          <w:lang w:val="en-GB"/>
        </w:rPr>
        <w:t> </w:t>
      </w:r>
    </w:p>
    <w:p w14:paraId="40BAEB08" w14:textId="040802CA" w:rsidR="00657236" w:rsidRPr="00180B8D" w:rsidRDefault="00D77A08">
      <w:pPr>
        <w:pStyle w:val="P68B1DB1-Normal2"/>
        <w:spacing w:after="0" w:line="240" w:lineRule="auto"/>
        <w:jc w:val="center"/>
        <w:rPr>
          <w:lang w:val="en-GB"/>
        </w:rPr>
      </w:pPr>
      <w:r>
        <w:rPr>
          <w:noProof/>
        </w:rPr>
        <w:drawing>
          <wp:inline distT="0" distB="0" distL="0" distR="0" wp14:anchorId="0C08EE77" wp14:editId="425FA30D">
            <wp:extent cx="4802560" cy="544865"/>
            <wp:effectExtent l="0" t="0" r="0" b="7620"/>
            <wp:docPr id="2057432696" name="Picture 2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image"/>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76992" cy="553310"/>
                    </a:xfrm>
                    <a:prstGeom prst="rect">
                      <a:avLst/>
                    </a:prstGeom>
                    <a:noFill/>
                    <a:ln>
                      <a:noFill/>
                    </a:ln>
                  </pic:spPr>
                </pic:pic>
              </a:graphicData>
            </a:graphic>
          </wp:inline>
        </w:drawing>
      </w:r>
    </w:p>
    <w:p w14:paraId="5DD75A36" w14:textId="77777777" w:rsidR="00657236" w:rsidRPr="00180B8D" w:rsidRDefault="00D655E7">
      <w:pPr>
        <w:pStyle w:val="P68B1DB1-Normal2"/>
        <w:spacing w:after="0" w:line="240" w:lineRule="auto"/>
        <w:ind w:firstLine="567"/>
        <w:jc w:val="both"/>
        <w:rPr>
          <w:lang w:val="en-GB"/>
        </w:rPr>
      </w:pPr>
      <w:r w:rsidRPr="00180B8D">
        <w:rPr>
          <w:lang w:val="en-GB"/>
        </w:rPr>
        <w:t> </w:t>
      </w:r>
    </w:p>
    <w:p w14:paraId="29ACAE53" w14:textId="6E45EBA1" w:rsidR="00657236" w:rsidRPr="00180B8D" w:rsidRDefault="003101D5">
      <w:pPr>
        <w:pStyle w:val="P68B1DB1-Normal2"/>
        <w:spacing w:after="0" w:line="240" w:lineRule="auto"/>
        <w:jc w:val="center"/>
        <w:rPr>
          <w:lang w:val="en-GB"/>
        </w:rPr>
      </w:pPr>
      <w:r>
        <w:rPr>
          <w:noProof/>
        </w:rPr>
        <w:lastRenderedPageBreak/>
        <w:drawing>
          <wp:inline distT="0" distB="0" distL="0" distR="0" wp14:anchorId="47E67AF2" wp14:editId="66573D99">
            <wp:extent cx="4889777" cy="588790"/>
            <wp:effectExtent l="0" t="0" r="6350" b="1905"/>
            <wp:docPr id="459511612"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imag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45898" cy="595548"/>
                    </a:xfrm>
                    <a:prstGeom prst="rect">
                      <a:avLst/>
                    </a:prstGeom>
                    <a:noFill/>
                    <a:ln>
                      <a:noFill/>
                    </a:ln>
                  </pic:spPr>
                </pic:pic>
              </a:graphicData>
            </a:graphic>
          </wp:inline>
        </w:drawing>
      </w:r>
    </w:p>
    <w:p w14:paraId="60A85E6C" w14:textId="77777777" w:rsidR="00657236" w:rsidRPr="00180B8D" w:rsidRDefault="00D655E7">
      <w:pPr>
        <w:pStyle w:val="P68B1DB1-Normal2"/>
        <w:spacing w:after="0" w:line="240" w:lineRule="auto"/>
        <w:ind w:firstLine="567"/>
        <w:jc w:val="both"/>
        <w:rPr>
          <w:lang w:val="en-GB"/>
        </w:rPr>
      </w:pPr>
      <w:r w:rsidRPr="00180B8D">
        <w:rPr>
          <w:lang w:val="en-GB"/>
        </w:rPr>
        <w:t>where:</w:t>
      </w:r>
    </w:p>
    <w:p w14:paraId="363B3EE2" w14:textId="372772FE" w:rsidR="00657236" w:rsidRPr="00180B8D" w:rsidRDefault="00D655E7">
      <w:pPr>
        <w:pStyle w:val="P68B1DB1-Normal2"/>
        <w:spacing w:after="0" w:line="240" w:lineRule="auto"/>
        <w:ind w:firstLine="567"/>
        <w:jc w:val="both"/>
        <w:rPr>
          <w:lang w:val="en-GB"/>
        </w:rPr>
      </w:pPr>
      <w:r w:rsidRPr="00180B8D">
        <w:rPr>
          <w:noProof/>
          <w:lang w:val="en-GB"/>
        </w:rPr>
        <w:drawing>
          <wp:inline distT="0" distB="0" distL="0" distR="0" wp14:anchorId="47ACE949" wp14:editId="7873AC3C">
            <wp:extent cx="344805" cy="1981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4805" cy="198120"/>
                    </a:xfrm>
                    <a:prstGeom prst="rect">
                      <a:avLst/>
                    </a:prstGeom>
                    <a:noFill/>
                    <a:ln>
                      <a:noFill/>
                    </a:ln>
                  </pic:spPr>
                </pic:pic>
              </a:graphicData>
            </a:graphic>
          </wp:inline>
        </w:drawing>
      </w:r>
      <w:r w:rsidRPr="00180B8D">
        <w:rPr>
          <w:lang w:val="en-GB"/>
        </w:rPr>
        <w:t xml:space="preserve">= </w:t>
      </w:r>
      <w:r w:rsidR="005C22E8" w:rsidRPr="005C22E8">
        <w:t xml:space="preserve">the sensitivities of the aggregate CVA to a counterparty credit spread rate risk </w:t>
      </w:r>
      <w:proofErr w:type="gramStart"/>
      <w:r w:rsidR="005C22E8" w:rsidRPr="005C22E8">
        <w:t>factor</w:t>
      </w:r>
      <w:r w:rsidRPr="00180B8D">
        <w:rPr>
          <w:lang w:val="en-GB"/>
        </w:rPr>
        <w:t>;</w:t>
      </w:r>
      <w:proofErr w:type="gramEnd"/>
    </w:p>
    <w:p w14:paraId="19E8424A" w14:textId="3C7E8CEC" w:rsidR="00657236" w:rsidRPr="00180B8D" w:rsidRDefault="00D655E7">
      <w:pPr>
        <w:pStyle w:val="P68B1DB1-Normal2"/>
        <w:spacing w:after="0" w:line="240" w:lineRule="auto"/>
        <w:ind w:firstLine="567"/>
        <w:jc w:val="both"/>
        <w:rPr>
          <w:lang w:val="en-GB"/>
        </w:rPr>
      </w:pPr>
      <w:proofErr w:type="spellStart"/>
      <w:r w:rsidRPr="00180B8D">
        <w:rPr>
          <w:i/>
          <w:lang w:val="en-GB"/>
        </w:rPr>
        <w:t>ccs</w:t>
      </w:r>
      <w:r w:rsidRPr="00180B8D">
        <w:rPr>
          <w:i/>
          <w:vertAlign w:val="subscript"/>
          <w:lang w:val="en-GB"/>
        </w:rPr>
        <w:t>kt</w:t>
      </w:r>
      <w:proofErr w:type="spellEnd"/>
      <w:r w:rsidRPr="00180B8D">
        <w:rPr>
          <w:i/>
          <w:vertAlign w:val="subscript"/>
          <w:lang w:val="en-GB"/>
        </w:rPr>
        <w:t xml:space="preserve"> =</w:t>
      </w:r>
      <w:r w:rsidRPr="00180B8D">
        <w:rPr>
          <w:lang w:val="en-GB"/>
        </w:rPr>
        <w:t xml:space="preserve"> </w:t>
      </w:r>
      <w:r w:rsidR="005C22E8" w:rsidRPr="005C22E8">
        <w:t xml:space="preserve">the value of the counterparty credit spread rate risk factor k at maturity </w:t>
      </w:r>
      <w:proofErr w:type="gramStart"/>
      <w:r w:rsidR="005C22E8" w:rsidRPr="005C22E8">
        <w:t>t</w:t>
      </w:r>
      <w:r w:rsidRPr="00180B8D">
        <w:rPr>
          <w:lang w:val="en-GB"/>
        </w:rPr>
        <w:t>;</w:t>
      </w:r>
      <w:proofErr w:type="gramEnd"/>
    </w:p>
    <w:p w14:paraId="7E43D0B8" w14:textId="23B082B1"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CVA</w:t>
      </w:r>
      <w:r w:rsidRPr="00180B8D">
        <w:rPr>
          <w:lang w:val="en-GB"/>
        </w:rPr>
        <w:t xml:space="preserve"> = </w:t>
      </w:r>
      <w:r w:rsidR="00B403DC" w:rsidRPr="00B403DC">
        <w:t xml:space="preserve">the aggregate CVA calculated by the regulatory CVA </w:t>
      </w:r>
      <w:proofErr w:type="gramStart"/>
      <w:r w:rsidR="00B403DC" w:rsidRPr="00B403DC">
        <w:t>model</w:t>
      </w:r>
      <w:r w:rsidRPr="00180B8D">
        <w:rPr>
          <w:lang w:val="en-GB"/>
        </w:rPr>
        <w:t>;</w:t>
      </w:r>
      <w:proofErr w:type="gramEnd"/>
    </w:p>
    <w:p w14:paraId="0AAB19C2" w14:textId="0532B193" w:rsidR="00657236" w:rsidRPr="00180B8D" w:rsidRDefault="00D655E7">
      <w:pPr>
        <w:pStyle w:val="P68B1DB1-Normal2"/>
        <w:spacing w:after="0" w:line="240" w:lineRule="auto"/>
        <w:ind w:firstLine="567"/>
        <w:jc w:val="both"/>
        <w:rPr>
          <w:lang w:val="en-GB"/>
        </w:rPr>
      </w:pPr>
      <w:r w:rsidRPr="00180B8D">
        <w:rPr>
          <w:i/>
          <w:lang w:val="en-GB"/>
        </w:rPr>
        <w:t>x,</w:t>
      </w:r>
      <w:r w:rsidR="005C22E8">
        <w:rPr>
          <w:i/>
          <w:lang w:val="en-GB"/>
        </w:rPr>
        <w:t xml:space="preserve"> </w:t>
      </w:r>
      <w:r w:rsidRPr="00180B8D">
        <w:rPr>
          <w:i/>
          <w:lang w:val="en-GB"/>
        </w:rPr>
        <w:t>y</w:t>
      </w:r>
      <w:r w:rsidRPr="00180B8D">
        <w:rPr>
          <w:lang w:val="en-GB"/>
        </w:rPr>
        <w:t xml:space="preserve"> = </w:t>
      </w:r>
      <w:r w:rsidR="00B403DC" w:rsidRPr="00B403DC">
        <w:t>risk factors other than</w:t>
      </w:r>
      <w:r w:rsidR="00B403DC">
        <w:t xml:space="preserve"> </w:t>
      </w:r>
      <w:proofErr w:type="spellStart"/>
      <w:r w:rsidRPr="00180B8D">
        <w:rPr>
          <w:i/>
          <w:lang w:val="en-GB"/>
        </w:rPr>
        <w:t>ccs</w:t>
      </w:r>
      <w:r w:rsidRPr="00180B8D">
        <w:rPr>
          <w:i/>
          <w:vertAlign w:val="subscript"/>
          <w:lang w:val="en-GB"/>
        </w:rPr>
        <w:t>kt</w:t>
      </w:r>
      <w:proofErr w:type="spellEnd"/>
      <w:r w:rsidRPr="00180B8D">
        <w:rPr>
          <w:lang w:val="en-GB"/>
        </w:rPr>
        <w:t xml:space="preserve"> in </w:t>
      </w:r>
      <w:proofErr w:type="gramStart"/>
      <w:r w:rsidRPr="00180B8D">
        <w:rPr>
          <w:i/>
          <w:lang w:val="en-GB"/>
        </w:rPr>
        <w:t>V</w:t>
      </w:r>
      <w:r w:rsidRPr="00180B8D">
        <w:rPr>
          <w:i/>
          <w:vertAlign w:val="subscript"/>
          <w:lang w:val="en-GB"/>
        </w:rPr>
        <w:t>CVA</w:t>
      </w:r>
      <w:r w:rsidRPr="00180B8D">
        <w:rPr>
          <w:lang w:val="en-GB"/>
        </w:rPr>
        <w:t>;</w:t>
      </w:r>
      <w:proofErr w:type="gramEnd"/>
    </w:p>
    <w:p w14:paraId="6107E524" w14:textId="3B4A3945" w:rsidR="00657236" w:rsidRPr="00180B8D" w:rsidRDefault="00B403DC">
      <w:pPr>
        <w:pStyle w:val="P68B1DB1-Normal2"/>
        <w:spacing w:after="0" w:line="240" w:lineRule="auto"/>
        <w:ind w:firstLine="567"/>
        <w:jc w:val="both"/>
        <w:rPr>
          <w:lang w:val="en-GB"/>
        </w:rPr>
      </w:pPr>
      <w:r>
        <w:rPr>
          <w:noProof/>
        </w:rPr>
        <w:drawing>
          <wp:inline distT="0" distB="0" distL="0" distR="0" wp14:anchorId="3E33426A" wp14:editId="0C501C7D">
            <wp:extent cx="508635" cy="254635"/>
            <wp:effectExtent l="0" t="0" r="5715" b="0"/>
            <wp:docPr id="1387287650"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imag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8635" cy="254635"/>
                    </a:xfrm>
                    <a:prstGeom prst="rect">
                      <a:avLst/>
                    </a:prstGeom>
                    <a:noFill/>
                    <a:ln>
                      <a:noFill/>
                    </a:ln>
                  </pic:spPr>
                </pic:pic>
              </a:graphicData>
            </a:graphic>
          </wp:inline>
        </w:drawing>
      </w:r>
      <w:r w:rsidRPr="00180B8D">
        <w:rPr>
          <w:lang w:val="en-GB"/>
        </w:rPr>
        <w:t xml:space="preserve">= </w:t>
      </w:r>
      <w:r w:rsidRPr="00B403DC">
        <w:t xml:space="preserve">the sensitivities of the eligible hedge i to a counterparty credit spread rate risk </w:t>
      </w:r>
      <w:proofErr w:type="gramStart"/>
      <w:r w:rsidRPr="00B403DC">
        <w:t>factor</w:t>
      </w:r>
      <w:r w:rsidRPr="00180B8D">
        <w:rPr>
          <w:lang w:val="en-GB"/>
        </w:rPr>
        <w:t>;</w:t>
      </w:r>
      <w:proofErr w:type="gramEnd"/>
    </w:p>
    <w:p w14:paraId="06EE82BA" w14:textId="529E55ED"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 xml:space="preserve"> i</w:t>
      </w:r>
      <w:r w:rsidRPr="00180B8D">
        <w:rPr>
          <w:lang w:val="en-GB"/>
        </w:rPr>
        <w:t xml:space="preserve"> = </w:t>
      </w:r>
      <w:r w:rsidR="00B403DC" w:rsidRPr="00B403DC">
        <w:t>the pricing function of the eligible hedge</w:t>
      </w:r>
      <w:r w:rsidR="00B403DC">
        <w:t xml:space="preserve"> </w:t>
      </w:r>
      <w:proofErr w:type="gramStart"/>
      <w:r w:rsidRPr="00180B8D">
        <w:rPr>
          <w:i/>
          <w:lang w:val="en-GB"/>
        </w:rPr>
        <w:t>i</w:t>
      </w:r>
      <w:r w:rsidRPr="00180B8D">
        <w:rPr>
          <w:lang w:val="en-GB"/>
        </w:rPr>
        <w:t>;</w:t>
      </w:r>
      <w:proofErr w:type="gramEnd"/>
    </w:p>
    <w:p w14:paraId="0719DB96" w14:textId="272DBD95" w:rsidR="00657236" w:rsidRPr="00180B8D" w:rsidRDefault="00D655E7">
      <w:pPr>
        <w:pStyle w:val="P68B1DB1-Normal2"/>
        <w:spacing w:after="0" w:line="240" w:lineRule="auto"/>
        <w:ind w:firstLine="567"/>
        <w:jc w:val="both"/>
        <w:rPr>
          <w:lang w:val="en-GB"/>
        </w:rPr>
      </w:pPr>
      <w:r w:rsidRPr="00180B8D">
        <w:rPr>
          <w:lang w:val="en-GB"/>
        </w:rPr>
        <w:t xml:space="preserve">w, z = risk factors other than </w:t>
      </w:r>
      <w:proofErr w:type="spellStart"/>
      <w:r w:rsidRPr="00180B8D">
        <w:rPr>
          <w:i/>
          <w:lang w:val="en-GB"/>
        </w:rPr>
        <w:t>ccs</w:t>
      </w:r>
      <w:r w:rsidRPr="00180B8D">
        <w:rPr>
          <w:i/>
          <w:vertAlign w:val="subscript"/>
          <w:lang w:val="en-GB"/>
        </w:rPr>
        <w:t>kt</w:t>
      </w:r>
      <w:proofErr w:type="spellEnd"/>
      <w:r w:rsidRPr="00180B8D">
        <w:rPr>
          <w:lang w:val="en-GB"/>
        </w:rPr>
        <w:t xml:space="preserve"> </w:t>
      </w:r>
      <w:r w:rsidR="00B403DC" w:rsidRPr="00B403DC">
        <w:t>in the pricing function</w:t>
      </w:r>
      <w:r w:rsidR="00B403DC">
        <w:t xml:space="preserve"> </w:t>
      </w:r>
      <w:proofErr w:type="gramStart"/>
      <w:r w:rsidRPr="00180B8D">
        <w:rPr>
          <w:i/>
          <w:lang w:val="en-GB"/>
        </w:rPr>
        <w:t>V</w:t>
      </w:r>
      <w:r w:rsidRPr="00180B8D">
        <w:rPr>
          <w:i/>
          <w:vertAlign w:val="subscript"/>
          <w:lang w:val="en-GB"/>
        </w:rPr>
        <w:t>i</w:t>
      </w:r>
      <w:r w:rsidRPr="00180B8D">
        <w:rPr>
          <w:lang w:val="en-GB"/>
        </w:rPr>
        <w:t xml:space="preserve"> .</w:t>
      </w:r>
      <w:proofErr w:type="gramEnd"/>
    </w:p>
    <w:p w14:paraId="0609BDF2" w14:textId="77777777" w:rsidR="00657236" w:rsidRPr="00180B8D" w:rsidRDefault="00D655E7">
      <w:pPr>
        <w:pStyle w:val="P68B1DB1-Normal2"/>
        <w:spacing w:after="0" w:line="240" w:lineRule="auto"/>
        <w:ind w:firstLine="567"/>
        <w:jc w:val="both"/>
        <w:rPr>
          <w:lang w:val="en-GB"/>
        </w:rPr>
      </w:pPr>
      <w:r w:rsidRPr="00180B8D">
        <w:rPr>
          <w:lang w:val="en-GB"/>
        </w:rPr>
        <w:t> </w:t>
      </w:r>
    </w:p>
    <w:p w14:paraId="3EC8A616" w14:textId="24AEC162" w:rsidR="00657236" w:rsidRPr="00180B8D" w:rsidRDefault="00D655E7">
      <w:pPr>
        <w:pStyle w:val="P68B1DB1-Normal2"/>
        <w:spacing w:after="0" w:line="240" w:lineRule="auto"/>
        <w:ind w:firstLine="567"/>
        <w:jc w:val="both"/>
        <w:rPr>
          <w:lang w:val="en-GB"/>
        </w:rPr>
      </w:pPr>
      <w:r w:rsidRPr="00180B8D">
        <w:rPr>
          <w:b/>
          <w:lang w:val="en-GB"/>
        </w:rPr>
        <w:t>66.</w:t>
      </w:r>
      <w:r w:rsidRPr="00180B8D">
        <w:rPr>
          <w:lang w:val="en-GB"/>
        </w:rPr>
        <w:t xml:space="preserve"> Banks shall calculate the delta sensitivities of the aggregate CVA to risk factors consisting of reference credit spread rates as well as of an eligible hedg</w:t>
      </w:r>
      <w:r w:rsidR="009D0E6E">
        <w:rPr>
          <w:lang w:val="en-GB"/>
        </w:rPr>
        <w:t>e</w:t>
      </w:r>
      <w:r w:rsidRPr="00180B8D">
        <w:rPr>
          <w:lang w:val="en-GB"/>
        </w:rPr>
        <w:t xml:space="preserve"> instrument to th</w:t>
      </w:r>
      <w:r w:rsidR="009D0E6E">
        <w:rPr>
          <w:lang w:val="en-GB"/>
        </w:rPr>
        <w:t>o</w:t>
      </w:r>
      <w:r w:rsidRPr="00180B8D">
        <w:rPr>
          <w:lang w:val="en-GB"/>
        </w:rPr>
        <w:t>se risk factors</w:t>
      </w:r>
      <w:r w:rsidR="009D0E6E">
        <w:rPr>
          <w:lang w:val="en-GB"/>
        </w:rPr>
        <w:t>,</w:t>
      </w:r>
      <w:r w:rsidRPr="00180B8D">
        <w:rPr>
          <w:lang w:val="en-GB"/>
        </w:rPr>
        <w:t xml:space="preserve"> as follows:</w:t>
      </w:r>
    </w:p>
    <w:p w14:paraId="3298642C" w14:textId="77777777" w:rsidR="00657236" w:rsidRPr="00180B8D" w:rsidRDefault="00D655E7">
      <w:pPr>
        <w:pStyle w:val="P68B1DB1-Normal2"/>
        <w:spacing w:after="0" w:line="240" w:lineRule="auto"/>
        <w:ind w:firstLine="567"/>
        <w:jc w:val="both"/>
        <w:rPr>
          <w:lang w:val="en-GB"/>
        </w:rPr>
      </w:pPr>
      <w:r w:rsidRPr="00180B8D">
        <w:rPr>
          <w:lang w:val="en-GB"/>
        </w:rPr>
        <w:t> </w:t>
      </w:r>
    </w:p>
    <w:p w14:paraId="1B47BF15" w14:textId="355AF0E4" w:rsidR="00657236" w:rsidRPr="00180B8D" w:rsidRDefault="009D0E6E">
      <w:pPr>
        <w:pStyle w:val="P68B1DB1-Normal2"/>
        <w:spacing w:after="0" w:line="240" w:lineRule="auto"/>
        <w:jc w:val="center"/>
        <w:rPr>
          <w:lang w:val="en-GB"/>
        </w:rPr>
      </w:pPr>
      <w:r>
        <w:rPr>
          <w:noProof/>
        </w:rPr>
        <w:drawing>
          <wp:inline distT="0" distB="0" distL="0" distR="0" wp14:anchorId="46CB3CE5" wp14:editId="1E3EB29F">
            <wp:extent cx="4786657" cy="543061"/>
            <wp:effectExtent l="0" t="0" r="0" b="9525"/>
            <wp:docPr id="908689419"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image"/>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958613" cy="562570"/>
                    </a:xfrm>
                    <a:prstGeom prst="rect">
                      <a:avLst/>
                    </a:prstGeom>
                    <a:noFill/>
                    <a:ln>
                      <a:noFill/>
                    </a:ln>
                  </pic:spPr>
                </pic:pic>
              </a:graphicData>
            </a:graphic>
          </wp:inline>
        </w:drawing>
      </w:r>
    </w:p>
    <w:p w14:paraId="2A7A4CF7" w14:textId="77777777" w:rsidR="00657236" w:rsidRPr="00180B8D" w:rsidRDefault="00D655E7">
      <w:pPr>
        <w:pStyle w:val="P68B1DB1-Normal2"/>
        <w:spacing w:after="0" w:line="240" w:lineRule="auto"/>
        <w:ind w:firstLine="567"/>
        <w:jc w:val="both"/>
        <w:rPr>
          <w:lang w:val="en-GB"/>
        </w:rPr>
      </w:pPr>
      <w:r w:rsidRPr="00180B8D">
        <w:rPr>
          <w:lang w:val="en-GB"/>
        </w:rPr>
        <w:t> </w:t>
      </w:r>
    </w:p>
    <w:p w14:paraId="30E76C62" w14:textId="690127F4" w:rsidR="00657236" w:rsidRPr="00180B8D" w:rsidRDefault="009D0E6E">
      <w:pPr>
        <w:pStyle w:val="P68B1DB1-Normal2"/>
        <w:spacing w:after="0" w:line="240" w:lineRule="auto"/>
        <w:jc w:val="center"/>
        <w:rPr>
          <w:lang w:val="en-GB"/>
        </w:rPr>
      </w:pPr>
      <w:r>
        <w:rPr>
          <w:noProof/>
        </w:rPr>
        <w:drawing>
          <wp:inline distT="0" distB="0" distL="0" distR="0" wp14:anchorId="15AE7E1B" wp14:editId="45A3213B">
            <wp:extent cx="4858220" cy="578619"/>
            <wp:effectExtent l="0" t="0" r="0" b="0"/>
            <wp:docPr id="810683425" name="Picture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image"/>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964390" cy="591264"/>
                    </a:xfrm>
                    <a:prstGeom prst="rect">
                      <a:avLst/>
                    </a:prstGeom>
                    <a:noFill/>
                    <a:ln>
                      <a:noFill/>
                    </a:ln>
                  </pic:spPr>
                </pic:pic>
              </a:graphicData>
            </a:graphic>
          </wp:inline>
        </w:drawing>
      </w:r>
    </w:p>
    <w:p w14:paraId="3935BE79" w14:textId="77777777" w:rsidR="00657236" w:rsidRPr="00180B8D" w:rsidRDefault="00D655E7">
      <w:pPr>
        <w:pStyle w:val="P68B1DB1-Normal2"/>
        <w:spacing w:after="0" w:line="240" w:lineRule="auto"/>
        <w:ind w:firstLine="567"/>
        <w:jc w:val="both"/>
        <w:rPr>
          <w:lang w:val="en-GB"/>
        </w:rPr>
      </w:pPr>
      <w:r w:rsidRPr="00180B8D">
        <w:rPr>
          <w:lang w:val="en-GB"/>
        </w:rPr>
        <w:t>where:</w:t>
      </w:r>
    </w:p>
    <w:p w14:paraId="5DD8FDC0" w14:textId="06074F21" w:rsidR="00657236" w:rsidRPr="00180B8D" w:rsidRDefault="00D655E7">
      <w:pPr>
        <w:pStyle w:val="P68B1DB1-Normal2"/>
        <w:spacing w:after="0" w:line="240" w:lineRule="auto"/>
        <w:ind w:firstLine="567"/>
        <w:jc w:val="both"/>
        <w:rPr>
          <w:lang w:val="en-GB"/>
        </w:rPr>
      </w:pPr>
      <w:r w:rsidRPr="00180B8D">
        <w:rPr>
          <w:noProof/>
          <w:lang w:val="en-GB"/>
        </w:rPr>
        <w:drawing>
          <wp:inline distT="0" distB="0" distL="0" distR="0" wp14:anchorId="23BE9630" wp14:editId="28F0FE4C">
            <wp:extent cx="344805" cy="1981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4805" cy="198120"/>
                    </a:xfrm>
                    <a:prstGeom prst="rect">
                      <a:avLst/>
                    </a:prstGeom>
                    <a:noFill/>
                    <a:ln>
                      <a:noFill/>
                    </a:ln>
                  </pic:spPr>
                </pic:pic>
              </a:graphicData>
            </a:graphic>
          </wp:inline>
        </w:drawing>
      </w:r>
      <w:r w:rsidRPr="00180B8D">
        <w:rPr>
          <w:lang w:val="en-GB"/>
        </w:rPr>
        <w:t xml:space="preserve">= </w:t>
      </w:r>
      <w:r w:rsidR="009D0E6E" w:rsidRPr="009D0E6E">
        <w:t xml:space="preserve">the sensitivities of the aggregate CVA to a reference credit spread rate risk </w:t>
      </w:r>
      <w:proofErr w:type="gramStart"/>
      <w:r w:rsidR="009D0E6E" w:rsidRPr="009D0E6E">
        <w:t>factor</w:t>
      </w:r>
      <w:r w:rsidRPr="00180B8D">
        <w:rPr>
          <w:lang w:val="en-GB"/>
        </w:rPr>
        <w:t>;</w:t>
      </w:r>
      <w:proofErr w:type="gramEnd"/>
    </w:p>
    <w:p w14:paraId="688B87C3" w14:textId="1F5D020E" w:rsidR="00657236" w:rsidRPr="00180B8D" w:rsidRDefault="00D655E7">
      <w:pPr>
        <w:pStyle w:val="P68B1DB1-Normal2"/>
        <w:spacing w:after="0" w:line="240" w:lineRule="auto"/>
        <w:ind w:firstLine="567"/>
        <w:jc w:val="both"/>
        <w:rPr>
          <w:lang w:val="en-GB"/>
        </w:rPr>
      </w:pPr>
      <w:proofErr w:type="spellStart"/>
      <w:r w:rsidRPr="00180B8D">
        <w:rPr>
          <w:i/>
          <w:lang w:val="en-GB"/>
        </w:rPr>
        <w:t>rcs</w:t>
      </w:r>
      <w:r w:rsidRPr="00180B8D">
        <w:rPr>
          <w:i/>
          <w:vertAlign w:val="subscript"/>
          <w:lang w:val="en-GB"/>
        </w:rPr>
        <w:t>kt</w:t>
      </w:r>
      <w:proofErr w:type="spellEnd"/>
      <w:r w:rsidRPr="00180B8D">
        <w:rPr>
          <w:lang w:val="en-GB"/>
        </w:rPr>
        <w:t xml:space="preserve"> = </w:t>
      </w:r>
      <w:r w:rsidR="009D0E6E" w:rsidRPr="009D0E6E">
        <w:t xml:space="preserve">the value of the reference credit spread rate risk factor k at maturity </w:t>
      </w:r>
      <w:proofErr w:type="gramStart"/>
      <w:r w:rsidR="009D0E6E" w:rsidRPr="009D0E6E">
        <w:t>t</w:t>
      </w:r>
      <w:r w:rsidRPr="00180B8D">
        <w:rPr>
          <w:lang w:val="en-GB"/>
        </w:rPr>
        <w:t>;</w:t>
      </w:r>
      <w:proofErr w:type="gramEnd"/>
    </w:p>
    <w:p w14:paraId="4BE43BF3" w14:textId="34E52692"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CVA</w:t>
      </w:r>
      <w:r w:rsidRPr="00180B8D">
        <w:rPr>
          <w:lang w:val="en-GB"/>
        </w:rPr>
        <w:t xml:space="preserve"> = </w:t>
      </w:r>
      <w:r w:rsidR="009D0E6E" w:rsidRPr="009D0E6E">
        <w:t xml:space="preserve">the aggregate CVA calculated by the regulatory CVA </w:t>
      </w:r>
      <w:proofErr w:type="gramStart"/>
      <w:r w:rsidR="009D0E6E" w:rsidRPr="009D0E6E">
        <w:t>model</w:t>
      </w:r>
      <w:r w:rsidRPr="00180B8D">
        <w:rPr>
          <w:lang w:val="en-GB"/>
        </w:rPr>
        <w:t>;</w:t>
      </w:r>
      <w:proofErr w:type="gramEnd"/>
    </w:p>
    <w:p w14:paraId="0DDCB9A3" w14:textId="2EB14248" w:rsidR="00657236" w:rsidRPr="00180B8D" w:rsidRDefault="00D655E7">
      <w:pPr>
        <w:pStyle w:val="P68B1DB1-Normal2"/>
        <w:spacing w:after="0" w:line="240" w:lineRule="auto"/>
        <w:ind w:firstLine="567"/>
        <w:jc w:val="both"/>
        <w:rPr>
          <w:lang w:val="en-GB"/>
        </w:rPr>
      </w:pPr>
      <w:r w:rsidRPr="00180B8D">
        <w:rPr>
          <w:i/>
          <w:lang w:val="en-GB"/>
        </w:rPr>
        <w:t>x, y</w:t>
      </w:r>
      <w:r w:rsidRPr="00180B8D">
        <w:rPr>
          <w:lang w:val="en-GB"/>
        </w:rPr>
        <w:t xml:space="preserve"> = risk factors other than </w:t>
      </w:r>
      <w:proofErr w:type="spellStart"/>
      <w:r w:rsidRPr="00180B8D">
        <w:rPr>
          <w:i/>
          <w:lang w:val="en-GB"/>
        </w:rPr>
        <w:t>ccs</w:t>
      </w:r>
      <w:r w:rsidRPr="00180B8D">
        <w:rPr>
          <w:i/>
          <w:vertAlign w:val="subscript"/>
          <w:lang w:val="en-GB"/>
        </w:rPr>
        <w:t>kt</w:t>
      </w:r>
      <w:proofErr w:type="spellEnd"/>
      <w:r w:rsidRPr="00180B8D">
        <w:rPr>
          <w:lang w:val="en-GB"/>
        </w:rPr>
        <w:t xml:space="preserve"> in </w:t>
      </w:r>
      <w:proofErr w:type="gramStart"/>
      <w:r w:rsidRPr="00180B8D">
        <w:rPr>
          <w:i/>
          <w:lang w:val="en-GB"/>
        </w:rPr>
        <w:t>V</w:t>
      </w:r>
      <w:r w:rsidRPr="00180B8D">
        <w:rPr>
          <w:i/>
          <w:vertAlign w:val="subscript"/>
          <w:lang w:val="en-GB"/>
        </w:rPr>
        <w:t>CVA</w:t>
      </w:r>
      <w:r w:rsidRPr="00180B8D">
        <w:rPr>
          <w:lang w:val="en-GB"/>
        </w:rPr>
        <w:t>;</w:t>
      </w:r>
      <w:proofErr w:type="gramEnd"/>
    </w:p>
    <w:p w14:paraId="67CA6C51" w14:textId="27574766" w:rsidR="00657236" w:rsidRPr="00180B8D" w:rsidRDefault="009D0E6E">
      <w:pPr>
        <w:pStyle w:val="P68B1DB1-Normal2"/>
        <w:spacing w:after="0" w:line="240" w:lineRule="auto"/>
        <w:ind w:firstLine="567"/>
        <w:jc w:val="both"/>
        <w:rPr>
          <w:lang w:val="en-GB"/>
        </w:rPr>
      </w:pPr>
      <w:r>
        <w:rPr>
          <w:noProof/>
        </w:rPr>
        <w:drawing>
          <wp:inline distT="0" distB="0" distL="0" distR="0" wp14:anchorId="4297A924" wp14:editId="2DCC2910">
            <wp:extent cx="469265" cy="254635"/>
            <wp:effectExtent l="0" t="0" r="6985" b="0"/>
            <wp:docPr id="1141601869" name="Picture 2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image"/>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69265" cy="254635"/>
                    </a:xfrm>
                    <a:prstGeom prst="rect">
                      <a:avLst/>
                    </a:prstGeom>
                    <a:noFill/>
                    <a:ln>
                      <a:noFill/>
                    </a:ln>
                  </pic:spPr>
                </pic:pic>
              </a:graphicData>
            </a:graphic>
          </wp:inline>
        </w:drawing>
      </w:r>
      <w:r w:rsidRPr="00180B8D">
        <w:rPr>
          <w:lang w:val="en-GB"/>
        </w:rPr>
        <w:t xml:space="preserve">= </w:t>
      </w:r>
      <w:r w:rsidRPr="009D0E6E">
        <w:t xml:space="preserve">the sensitivities of the eligible hedge i to a reference credit spread rate risk </w:t>
      </w:r>
      <w:proofErr w:type="gramStart"/>
      <w:r w:rsidRPr="009D0E6E">
        <w:t>factor</w:t>
      </w:r>
      <w:r w:rsidRPr="00180B8D">
        <w:rPr>
          <w:lang w:val="en-GB"/>
        </w:rPr>
        <w:t>;</w:t>
      </w:r>
      <w:proofErr w:type="gramEnd"/>
    </w:p>
    <w:p w14:paraId="5BAA51EA" w14:textId="75CEE07C"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i</w:t>
      </w:r>
      <w:r w:rsidRPr="00180B8D">
        <w:rPr>
          <w:lang w:val="en-GB"/>
        </w:rPr>
        <w:t xml:space="preserve"> = </w:t>
      </w:r>
      <w:r w:rsidR="009D0E6E" w:rsidRPr="009D0E6E">
        <w:t xml:space="preserve">the pricing function of the eligible hedge </w:t>
      </w:r>
      <w:proofErr w:type="gramStart"/>
      <w:r w:rsidRPr="00180B8D">
        <w:rPr>
          <w:i/>
          <w:lang w:val="en-GB"/>
        </w:rPr>
        <w:t>i</w:t>
      </w:r>
      <w:r w:rsidRPr="00180B8D">
        <w:rPr>
          <w:lang w:val="en-GB"/>
        </w:rPr>
        <w:t>;</w:t>
      </w:r>
      <w:proofErr w:type="gramEnd"/>
    </w:p>
    <w:p w14:paraId="30156CD4" w14:textId="0D12062E" w:rsidR="00657236" w:rsidRPr="00180B8D" w:rsidRDefault="00D655E7">
      <w:pPr>
        <w:pStyle w:val="P68B1DB1-Normal2"/>
        <w:spacing w:after="0" w:line="240" w:lineRule="auto"/>
        <w:ind w:firstLine="567"/>
        <w:jc w:val="both"/>
        <w:rPr>
          <w:lang w:val="en-GB"/>
        </w:rPr>
      </w:pPr>
      <w:r w:rsidRPr="00180B8D">
        <w:rPr>
          <w:i/>
          <w:lang w:val="en-GB"/>
        </w:rPr>
        <w:t>w, z</w:t>
      </w:r>
      <w:r w:rsidRPr="00180B8D">
        <w:rPr>
          <w:lang w:val="en-GB"/>
        </w:rPr>
        <w:t xml:space="preserve"> = risk factors other than </w:t>
      </w:r>
      <w:r w:rsidRPr="00180B8D">
        <w:rPr>
          <w:i/>
          <w:lang w:val="en-GB"/>
        </w:rPr>
        <w:t>ccs</w:t>
      </w:r>
      <w:r w:rsidRPr="00180B8D">
        <w:rPr>
          <w:i/>
          <w:vertAlign w:val="subscript"/>
          <w:lang w:val="en-GB"/>
        </w:rPr>
        <w:t xml:space="preserve"> kt</w:t>
      </w:r>
      <w:r w:rsidRPr="00180B8D">
        <w:rPr>
          <w:lang w:val="en-GB"/>
        </w:rPr>
        <w:t xml:space="preserve"> </w:t>
      </w:r>
      <w:r w:rsidR="009D0E6E" w:rsidRPr="009D0E6E">
        <w:t>in the pricing function</w:t>
      </w:r>
      <w:r w:rsidR="009D0E6E">
        <w:t xml:space="preserve"> </w:t>
      </w:r>
      <w:r w:rsidRPr="00180B8D">
        <w:rPr>
          <w:i/>
          <w:lang w:val="en-GB"/>
        </w:rPr>
        <w:t>V</w:t>
      </w:r>
      <w:r w:rsidRPr="00180B8D">
        <w:rPr>
          <w:i/>
          <w:vertAlign w:val="subscript"/>
          <w:lang w:val="en-GB"/>
        </w:rPr>
        <w:t xml:space="preserve"> </w:t>
      </w:r>
      <w:proofErr w:type="gramStart"/>
      <w:r w:rsidRPr="00180B8D">
        <w:rPr>
          <w:i/>
          <w:vertAlign w:val="subscript"/>
          <w:lang w:val="en-GB"/>
        </w:rPr>
        <w:t>i</w:t>
      </w:r>
      <w:r w:rsidRPr="00180B8D">
        <w:rPr>
          <w:lang w:val="en-GB"/>
        </w:rPr>
        <w:t xml:space="preserve"> .</w:t>
      </w:r>
      <w:proofErr w:type="gramEnd"/>
    </w:p>
    <w:p w14:paraId="40FCCD4B" w14:textId="77777777" w:rsidR="00657236" w:rsidRPr="00180B8D" w:rsidRDefault="00D655E7">
      <w:pPr>
        <w:pStyle w:val="P68B1DB1-Normal2"/>
        <w:spacing w:after="0" w:line="240" w:lineRule="auto"/>
        <w:ind w:firstLine="567"/>
        <w:jc w:val="both"/>
        <w:rPr>
          <w:lang w:val="en-GB"/>
        </w:rPr>
      </w:pPr>
      <w:r w:rsidRPr="00180B8D">
        <w:rPr>
          <w:lang w:val="en-GB"/>
        </w:rPr>
        <w:t> </w:t>
      </w:r>
    </w:p>
    <w:p w14:paraId="3D5C8CA4" w14:textId="6525E370" w:rsidR="00657236" w:rsidRPr="00180B8D" w:rsidRDefault="00D655E7">
      <w:pPr>
        <w:pStyle w:val="P68B1DB1-Normal2"/>
        <w:spacing w:after="0" w:line="240" w:lineRule="auto"/>
        <w:ind w:firstLine="567"/>
        <w:jc w:val="both"/>
        <w:rPr>
          <w:lang w:val="en-GB"/>
        </w:rPr>
      </w:pPr>
      <w:r w:rsidRPr="00180B8D">
        <w:rPr>
          <w:b/>
          <w:lang w:val="en-GB"/>
        </w:rPr>
        <w:t>67.</w:t>
      </w:r>
      <w:r w:rsidRPr="00180B8D">
        <w:rPr>
          <w:lang w:val="en-GB"/>
        </w:rPr>
        <w:t xml:space="preserve"> Banks shall calculate the delta sensitivities of the aggregate CVA to risk factors consisting of </w:t>
      </w:r>
      <w:r w:rsidR="009D0E6E" w:rsidRPr="00180B8D">
        <w:rPr>
          <w:lang w:val="en-GB"/>
        </w:rPr>
        <w:t xml:space="preserve">equity </w:t>
      </w:r>
      <w:r w:rsidRPr="00180B8D">
        <w:rPr>
          <w:lang w:val="en-GB"/>
        </w:rPr>
        <w:t>spot prices</w:t>
      </w:r>
      <w:r w:rsidR="009D0E6E">
        <w:rPr>
          <w:lang w:val="en-GB"/>
        </w:rPr>
        <w:t>,</w:t>
      </w:r>
      <w:r w:rsidRPr="00180B8D">
        <w:rPr>
          <w:lang w:val="en-GB"/>
        </w:rPr>
        <w:t xml:space="preserve"> as well as of a</w:t>
      </w:r>
      <w:r w:rsidR="002E2994">
        <w:rPr>
          <w:lang w:val="en-GB"/>
        </w:rPr>
        <w:t>n</w:t>
      </w:r>
      <w:r w:rsidRPr="00180B8D">
        <w:rPr>
          <w:lang w:val="en-GB"/>
        </w:rPr>
        <w:t xml:space="preserve"> </w:t>
      </w:r>
      <w:r w:rsidR="002E2994" w:rsidRPr="00180B8D">
        <w:rPr>
          <w:lang w:val="en-GB"/>
        </w:rPr>
        <w:t xml:space="preserve">eligible </w:t>
      </w:r>
      <w:r w:rsidRPr="00180B8D">
        <w:rPr>
          <w:lang w:val="en-GB"/>
        </w:rPr>
        <w:t>hedg</w:t>
      </w:r>
      <w:r w:rsidR="002E2994">
        <w:rPr>
          <w:lang w:val="en-GB"/>
        </w:rPr>
        <w:t>e</w:t>
      </w:r>
      <w:r w:rsidRPr="00180B8D">
        <w:rPr>
          <w:lang w:val="en-GB"/>
        </w:rPr>
        <w:t xml:space="preserve"> instrument </w:t>
      </w:r>
      <w:r w:rsidR="002E2994">
        <w:rPr>
          <w:lang w:val="en-GB"/>
        </w:rPr>
        <w:t>to</w:t>
      </w:r>
      <w:r w:rsidRPr="00180B8D">
        <w:rPr>
          <w:lang w:val="en-GB"/>
        </w:rPr>
        <w:t xml:space="preserve"> th</w:t>
      </w:r>
      <w:r w:rsidR="002E2994">
        <w:rPr>
          <w:lang w:val="en-GB"/>
        </w:rPr>
        <w:t>o</w:t>
      </w:r>
      <w:r w:rsidRPr="00180B8D">
        <w:rPr>
          <w:lang w:val="en-GB"/>
        </w:rPr>
        <w:t>se risk factors</w:t>
      </w:r>
      <w:r w:rsidR="002E2994">
        <w:rPr>
          <w:lang w:val="en-GB"/>
        </w:rPr>
        <w:t>,</w:t>
      </w:r>
      <w:r w:rsidRPr="00180B8D">
        <w:rPr>
          <w:lang w:val="en-GB"/>
        </w:rPr>
        <w:t xml:space="preserve"> as follows:</w:t>
      </w:r>
    </w:p>
    <w:p w14:paraId="228C339D" w14:textId="77777777" w:rsidR="00657236" w:rsidRPr="00180B8D" w:rsidRDefault="00D655E7">
      <w:pPr>
        <w:pStyle w:val="P68B1DB1-Normal2"/>
        <w:spacing w:after="0" w:line="240" w:lineRule="auto"/>
        <w:ind w:firstLine="567"/>
        <w:jc w:val="both"/>
        <w:rPr>
          <w:lang w:val="en-GB"/>
        </w:rPr>
      </w:pPr>
      <w:r w:rsidRPr="00180B8D">
        <w:rPr>
          <w:lang w:val="en-GB"/>
        </w:rPr>
        <w:t> </w:t>
      </w:r>
    </w:p>
    <w:p w14:paraId="77A4E52C" w14:textId="18C7F4ED" w:rsidR="00657236" w:rsidRPr="00180B8D" w:rsidRDefault="002E2994">
      <w:pPr>
        <w:pStyle w:val="P68B1DB1-Normal2"/>
        <w:spacing w:after="0" w:line="240" w:lineRule="auto"/>
        <w:jc w:val="center"/>
        <w:rPr>
          <w:lang w:val="en-GB"/>
        </w:rPr>
      </w:pPr>
      <w:r>
        <w:rPr>
          <w:noProof/>
        </w:rPr>
        <w:drawing>
          <wp:inline distT="0" distB="0" distL="0" distR="0" wp14:anchorId="069D11D9" wp14:editId="18B3D29A">
            <wp:extent cx="4219922" cy="556784"/>
            <wp:effectExtent l="0" t="0" r="0" b="0"/>
            <wp:docPr id="458211247" name="Picture 3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image"/>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263862" cy="562581"/>
                    </a:xfrm>
                    <a:prstGeom prst="rect">
                      <a:avLst/>
                    </a:prstGeom>
                    <a:noFill/>
                    <a:ln>
                      <a:noFill/>
                    </a:ln>
                  </pic:spPr>
                </pic:pic>
              </a:graphicData>
            </a:graphic>
          </wp:inline>
        </w:drawing>
      </w:r>
    </w:p>
    <w:p w14:paraId="0BF8D2B5" w14:textId="77777777" w:rsidR="00657236" w:rsidRPr="00180B8D" w:rsidRDefault="00D655E7">
      <w:pPr>
        <w:pStyle w:val="P68B1DB1-Normal2"/>
        <w:spacing w:after="0" w:line="240" w:lineRule="auto"/>
        <w:jc w:val="center"/>
        <w:rPr>
          <w:lang w:val="en-GB"/>
        </w:rPr>
      </w:pPr>
      <w:r w:rsidRPr="00180B8D">
        <w:rPr>
          <w:lang w:val="en-GB"/>
        </w:rPr>
        <w:t> </w:t>
      </w:r>
    </w:p>
    <w:p w14:paraId="63B817D5" w14:textId="146DE477" w:rsidR="00657236" w:rsidRPr="00180B8D" w:rsidRDefault="002E2994">
      <w:pPr>
        <w:pStyle w:val="P68B1DB1-Normal2"/>
        <w:spacing w:after="0" w:line="240" w:lineRule="auto"/>
        <w:jc w:val="center"/>
        <w:rPr>
          <w:lang w:val="en-GB"/>
        </w:rPr>
      </w:pPr>
      <w:r>
        <w:rPr>
          <w:noProof/>
        </w:rPr>
        <w:drawing>
          <wp:inline distT="0" distB="0" distL="0" distR="0" wp14:anchorId="7C2C3E16" wp14:editId="627AB663">
            <wp:extent cx="4174324" cy="575682"/>
            <wp:effectExtent l="0" t="0" r="0" b="0"/>
            <wp:docPr id="1954520410" name="Picture 3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image"/>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225905" cy="582796"/>
                    </a:xfrm>
                    <a:prstGeom prst="rect">
                      <a:avLst/>
                    </a:prstGeom>
                    <a:noFill/>
                    <a:ln>
                      <a:noFill/>
                    </a:ln>
                  </pic:spPr>
                </pic:pic>
              </a:graphicData>
            </a:graphic>
          </wp:inline>
        </w:drawing>
      </w:r>
    </w:p>
    <w:p w14:paraId="28773B6B" w14:textId="77777777" w:rsidR="00657236" w:rsidRPr="00180B8D" w:rsidRDefault="00D655E7">
      <w:pPr>
        <w:pStyle w:val="P68B1DB1-Normal2"/>
        <w:spacing w:after="0" w:line="240" w:lineRule="auto"/>
        <w:ind w:firstLine="567"/>
        <w:jc w:val="both"/>
        <w:rPr>
          <w:lang w:val="en-GB"/>
        </w:rPr>
      </w:pPr>
      <w:r w:rsidRPr="00180B8D">
        <w:rPr>
          <w:lang w:val="en-GB"/>
        </w:rPr>
        <w:t>where:</w:t>
      </w:r>
    </w:p>
    <w:p w14:paraId="012F4713" w14:textId="7DEDFFAD" w:rsidR="00657236" w:rsidRPr="00180B8D" w:rsidRDefault="00D655E7">
      <w:pPr>
        <w:pStyle w:val="P68B1DB1-Normal2"/>
        <w:spacing w:after="0" w:line="240" w:lineRule="auto"/>
        <w:ind w:firstLine="567"/>
        <w:jc w:val="both"/>
        <w:rPr>
          <w:lang w:val="en-GB"/>
        </w:rPr>
      </w:pPr>
      <w:r w:rsidRPr="00180B8D">
        <w:rPr>
          <w:noProof/>
          <w:lang w:val="en-GB"/>
        </w:rPr>
        <w:drawing>
          <wp:inline distT="0" distB="0" distL="0" distR="0" wp14:anchorId="3DD6A2B9" wp14:editId="5CE0678B">
            <wp:extent cx="301625" cy="189865"/>
            <wp:effectExtent l="0" t="0" r="3175"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1625" cy="189865"/>
                    </a:xfrm>
                    <a:prstGeom prst="rect">
                      <a:avLst/>
                    </a:prstGeom>
                    <a:noFill/>
                    <a:ln>
                      <a:noFill/>
                    </a:ln>
                  </pic:spPr>
                </pic:pic>
              </a:graphicData>
            </a:graphic>
          </wp:inline>
        </w:drawing>
      </w:r>
      <w:r w:rsidRPr="00180B8D">
        <w:rPr>
          <w:lang w:val="en-GB"/>
        </w:rPr>
        <w:t xml:space="preserve">= </w:t>
      </w:r>
      <w:r w:rsidR="002E2994" w:rsidRPr="002E2994">
        <w:t xml:space="preserve">the sensitivities of the aggregate CVA to an equity spot price risk </w:t>
      </w:r>
      <w:proofErr w:type="gramStart"/>
      <w:r w:rsidR="002E2994" w:rsidRPr="002E2994">
        <w:t>factor</w:t>
      </w:r>
      <w:r w:rsidRPr="00180B8D">
        <w:rPr>
          <w:lang w:val="en-GB"/>
        </w:rPr>
        <w:t>;</w:t>
      </w:r>
      <w:proofErr w:type="gramEnd"/>
    </w:p>
    <w:p w14:paraId="0DC65728" w14:textId="7F92B71A" w:rsidR="00657236" w:rsidRPr="00180B8D" w:rsidRDefault="00D655E7">
      <w:pPr>
        <w:pStyle w:val="P68B1DB1-Normal2"/>
        <w:spacing w:after="0" w:line="240" w:lineRule="auto"/>
        <w:ind w:firstLine="567"/>
        <w:jc w:val="both"/>
        <w:rPr>
          <w:lang w:val="en-GB"/>
        </w:rPr>
      </w:pPr>
      <w:r w:rsidRPr="00180B8D">
        <w:rPr>
          <w:i/>
          <w:lang w:val="en-GB"/>
        </w:rPr>
        <w:t>EQ</w:t>
      </w:r>
      <w:r w:rsidRPr="00180B8D">
        <w:rPr>
          <w:lang w:val="en-GB"/>
        </w:rPr>
        <w:t xml:space="preserve"> = </w:t>
      </w:r>
      <w:r w:rsidR="002E2994" w:rsidRPr="002E2994">
        <w:t xml:space="preserve">the value of the equity spot </w:t>
      </w:r>
      <w:proofErr w:type="gramStart"/>
      <w:r w:rsidR="002E2994" w:rsidRPr="002E2994">
        <w:t>price</w:t>
      </w:r>
      <w:r w:rsidRPr="00180B8D">
        <w:rPr>
          <w:lang w:val="en-GB"/>
        </w:rPr>
        <w:t>;</w:t>
      </w:r>
      <w:proofErr w:type="gramEnd"/>
    </w:p>
    <w:p w14:paraId="0D0A564D" w14:textId="0188D757"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CVA</w:t>
      </w:r>
      <w:r w:rsidRPr="00180B8D">
        <w:rPr>
          <w:i/>
          <w:lang w:val="en-GB"/>
        </w:rPr>
        <w:t>=</w:t>
      </w:r>
      <w:r w:rsidRPr="00180B8D">
        <w:rPr>
          <w:lang w:val="en-GB"/>
        </w:rPr>
        <w:t xml:space="preserve"> </w:t>
      </w:r>
      <w:r w:rsidR="002E2994" w:rsidRPr="002E2994">
        <w:t xml:space="preserve">the aggregate CVA calculated by the regulatory CVA </w:t>
      </w:r>
      <w:proofErr w:type="gramStart"/>
      <w:r w:rsidR="002E2994" w:rsidRPr="002E2994">
        <w:t>model</w:t>
      </w:r>
      <w:r w:rsidRPr="00180B8D">
        <w:rPr>
          <w:lang w:val="en-GB"/>
        </w:rPr>
        <w:t>;</w:t>
      </w:r>
      <w:proofErr w:type="gramEnd"/>
    </w:p>
    <w:p w14:paraId="609D92DD" w14:textId="79B9E138" w:rsidR="00657236" w:rsidRPr="00180B8D" w:rsidRDefault="00D655E7">
      <w:pPr>
        <w:pStyle w:val="P68B1DB1-Normal2"/>
        <w:spacing w:after="0" w:line="240" w:lineRule="auto"/>
        <w:ind w:firstLine="567"/>
        <w:jc w:val="both"/>
        <w:rPr>
          <w:lang w:val="en-GB"/>
        </w:rPr>
      </w:pPr>
      <w:r w:rsidRPr="00180B8D">
        <w:rPr>
          <w:i/>
          <w:lang w:val="en-GB"/>
        </w:rPr>
        <w:lastRenderedPageBreak/>
        <w:t>x, y</w:t>
      </w:r>
      <w:r w:rsidRPr="00180B8D">
        <w:rPr>
          <w:lang w:val="en-GB"/>
        </w:rPr>
        <w:t xml:space="preserve"> = risk factors other than </w:t>
      </w:r>
      <w:r w:rsidRPr="00180B8D">
        <w:rPr>
          <w:i/>
          <w:lang w:val="en-GB"/>
        </w:rPr>
        <w:t>EQ</w:t>
      </w:r>
      <w:r w:rsidRPr="00180B8D">
        <w:rPr>
          <w:lang w:val="en-GB"/>
        </w:rPr>
        <w:t xml:space="preserve"> in </w:t>
      </w:r>
      <w:proofErr w:type="gramStart"/>
      <w:r w:rsidRPr="00180B8D">
        <w:rPr>
          <w:i/>
          <w:lang w:val="en-GB"/>
        </w:rPr>
        <w:t>V</w:t>
      </w:r>
      <w:r w:rsidRPr="00180B8D">
        <w:rPr>
          <w:i/>
          <w:vertAlign w:val="subscript"/>
          <w:lang w:val="en-GB"/>
        </w:rPr>
        <w:t>CVA</w:t>
      </w:r>
      <w:r w:rsidRPr="00180B8D">
        <w:rPr>
          <w:lang w:val="en-GB"/>
        </w:rPr>
        <w:t>;</w:t>
      </w:r>
      <w:proofErr w:type="gramEnd"/>
    </w:p>
    <w:p w14:paraId="1818040A" w14:textId="0910B501" w:rsidR="00657236" w:rsidRPr="00180B8D" w:rsidRDefault="002E2994">
      <w:pPr>
        <w:pStyle w:val="P68B1DB1-Normal2"/>
        <w:spacing w:after="0" w:line="240" w:lineRule="auto"/>
        <w:ind w:firstLine="567"/>
        <w:jc w:val="both"/>
        <w:rPr>
          <w:lang w:val="en-GB"/>
        </w:rPr>
      </w:pPr>
      <w:r>
        <w:rPr>
          <w:noProof/>
        </w:rPr>
        <w:drawing>
          <wp:inline distT="0" distB="0" distL="0" distR="0" wp14:anchorId="22DB2EFD" wp14:editId="3494068D">
            <wp:extent cx="469265" cy="254635"/>
            <wp:effectExtent l="0" t="0" r="6985" b="0"/>
            <wp:docPr id="1771428445" name="Picture 3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imag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469265" cy="254635"/>
                    </a:xfrm>
                    <a:prstGeom prst="rect">
                      <a:avLst/>
                    </a:prstGeom>
                    <a:noFill/>
                    <a:ln>
                      <a:noFill/>
                    </a:ln>
                  </pic:spPr>
                </pic:pic>
              </a:graphicData>
            </a:graphic>
          </wp:inline>
        </w:drawing>
      </w:r>
      <w:r w:rsidRPr="00180B8D">
        <w:rPr>
          <w:lang w:val="en-GB"/>
        </w:rPr>
        <w:t xml:space="preserve">= </w:t>
      </w:r>
      <w:r w:rsidRPr="002E2994">
        <w:t xml:space="preserve">the sensitivities of the eligible hedge i to an equity spot price risk </w:t>
      </w:r>
      <w:proofErr w:type="gramStart"/>
      <w:r w:rsidRPr="002E2994">
        <w:t>factor</w:t>
      </w:r>
      <w:r w:rsidRPr="00180B8D">
        <w:rPr>
          <w:lang w:val="en-GB"/>
        </w:rPr>
        <w:t>;</w:t>
      </w:r>
      <w:proofErr w:type="gramEnd"/>
    </w:p>
    <w:p w14:paraId="6C5FA409" w14:textId="6D413DB1"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 xml:space="preserve"> i</w:t>
      </w:r>
      <w:r w:rsidRPr="00180B8D">
        <w:rPr>
          <w:lang w:val="en-GB"/>
        </w:rPr>
        <w:t xml:space="preserve"> = </w:t>
      </w:r>
      <w:r w:rsidR="002E2994" w:rsidRPr="002E2994">
        <w:t xml:space="preserve">the pricing function of the eligible hedge </w:t>
      </w:r>
      <w:proofErr w:type="gramStart"/>
      <w:r w:rsidR="002E2994" w:rsidRPr="002E2994">
        <w:t>i</w:t>
      </w:r>
      <w:r w:rsidRPr="00180B8D">
        <w:rPr>
          <w:lang w:val="en-GB"/>
        </w:rPr>
        <w:t>;</w:t>
      </w:r>
      <w:proofErr w:type="gramEnd"/>
    </w:p>
    <w:p w14:paraId="2C24D426" w14:textId="52D0CDD1" w:rsidR="00657236" w:rsidRPr="00180B8D" w:rsidRDefault="00D655E7">
      <w:pPr>
        <w:pStyle w:val="P68B1DB1-Normal2"/>
        <w:spacing w:after="0" w:line="240" w:lineRule="auto"/>
        <w:ind w:firstLine="567"/>
        <w:jc w:val="both"/>
        <w:rPr>
          <w:lang w:val="en-GB"/>
        </w:rPr>
      </w:pPr>
      <w:r w:rsidRPr="00180B8D">
        <w:rPr>
          <w:lang w:val="en-GB"/>
        </w:rPr>
        <w:t xml:space="preserve">w, z = risk factors other than </w:t>
      </w:r>
      <w:r w:rsidRPr="00180B8D">
        <w:rPr>
          <w:i/>
          <w:lang w:val="en-GB"/>
        </w:rPr>
        <w:t>EQ</w:t>
      </w:r>
      <w:r w:rsidRPr="00180B8D">
        <w:rPr>
          <w:lang w:val="en-GB"/>
        </w:rPr>
        <w:t xml:space="preserve"> </w:t>
      </w:r>
      <w:r w:rsidR="002E2994" w:rsidRPr="002E2994">
        <w:t>in the pricing function</w:t>
      </w:r>
      <w:r w:rsidR="002E2994">
        <w:t xml:space="preserve"> </w:t>
      </w:r>
      <w:r w:rsidRPr="00180B8D">
        <w:rPr>
          <w:i/>
          <w:lang w:val="en-GB"/>
        </w:rPr>
        <w:t>V</w:t>
      </w:r>
      <w:r w:rsidRPr="00180B8D">
        <w:rPr>
          <w:i/>
          <w:vertAlign w:val="subscript"/>
          <w:lang w:val="en-GB"/>
        </w:rPr>
        <w:t xml:space="preserve"> </w:t>
      </w:r>
      <w:proofErr w:type="gramStart"/>
      <w:r w:rsidRPr="00180B8D">
        <w:rPr>
          <w:i/>
          <w:vertAlign w:val="subscript"/>
          <w:lang w:val="en-GB"/>
        </w:rPr>
        <w:t>i</w:t>
      </w:r>
      <w:r w:rsidRPr="00180B8D">
        <w:rPr>
          <w:lang w:val="en-GB"/>
        </w:rPr>
        <w:t xml:space="preserve"> .</w:t>
      </w:r>
      <w:proofErr w:type="gramEnd"/>
    </w:p>
    <w:p w14:paraId="1BEB786B" w14:textId="77777777" w:rsidR="00657236" w:rsidRPr="00180B8D" w:rsidRDefault="00D655E7">
      <w:pPr>
        <w:pStyle w:val="P68B1DB1-Normal2"/>
        <w:spacing w:after="0" w:line="240" w:lineRule="auto"/>
        <w:ind w:firstLine="567"/>
        <w:jc w:val="both"/>
        <w:rPr>
          <w:lang w:val="en-GB"/>
        </w:rPr>
      </w:pPr>
      <w:r w:rsidRPr="00180B8D">
        <w:rPr>
          <w:lang w:val="en-GB"/>
        </w:rPr>
        <w:t> </w:t>
      </w:r>
    </w:p>
    <w:p w14:paraId="337766B5" w14:textId="0A9999E5" w:rsidR="00657236" w:rsidRPr="00180B8D" w:rsidRDefault="00D655E7">
      <w:pPr>
        <w:pStyle w:val="P68B1DB1-Normal2"/>
        <w:spacing w:after="0" w:line="240" w:lineRule="auto"/>
        <w:ind w:firstLine="567"/>
        <w:jc w:val="both"/>
        <w:rPr>
          <w:lang w:val="en-GB"/>
        </w:rPr>
      </w:pPr>
      <w:r w:rsidRPr="00180B8D">
        <w:rPr>
          <w:b/>
          <w:lang w:val="en-GB"/>
        </w:rPr>
        <w:t>68.</w:t>
      </w:r>
      <w:r w:rsidRPr="00180B8D">
        <w:rPr>
          <w:lang w:val="en-GB"/>
        </w:rPr>
        <w:t xml:space="preserve"> Banks shall calculate the delta sensitivities of the aggregate CVA to risk factors consisting of </w:t>
      </w:r>
      <w:r w:rsidR="002E2994" w:rsidRPr="00180B8D">
        <w:rPr>
          <w:lang w:val="en-GB"/>
        </w:rPr>
        <w:t xml:space="preserve">commodity </w:t>
      </w:r>
      <w:r w:rsidRPr="00180B8D">
        <w:rPr>
          <w:lang w:val="en-GB"/>
        </w:rPr>
        <w:t>spot prices</w:t>
      </w:r>
      <w:r w:rsidR="002E2994">
        <w:rPr>
          <w:lang w:val="en-GB"/>
        </w:rPr>
        <w:t>,</w:t>
      </w:r>
      <w:r w:rsidRPr="00180B8D">
        <w:rPr>
          <w:lang w:val="en-GB"/>
        </w:rPr>
        <w:t xml:space="preserve"> as well as of an eligible hedg</w:t>
      </w:r>
      <w:r w:rsidR="002E2994">
        <w:rPr>
          <w:lang w:val="en-GB"/>
        </w:rPr>
        <w:t>e</w:t>
      </w:r>
      <w:r w:rsidRPr="00180B8D">
        <w:rPr>
          <w:lang w:val="en-GB"/>
        </w:rPr>
        <w:t xml:space="preserve"> instrument to th</w:t>
      </w:r>
      <w:r w:rsidR="002E2994">
        <w:rPr>
          <w:lang w:val="en-GB"/>
        </w:rPr>
        <w:t>o</w:t>
      </w:r>
      <w:r w:rsidRPr="00180B8D">
        <w:rPr>
          <w:lang w:val="en-GB"/>
        </w:rPr>
        <w:t>se risk factors as follows:</w:t>
      </w:r>
    </w:p>
    <w:p w14:paraId="06ABEC53" w14:textId="77777777" w:rsidR="00657236" w:rsidRPr="00180B8D" w:rsidRDefault="00D655E7">
      <w:pPr>
        <w:pStyle w:val="P68B1DB1-Normal2"/>
        <w:spacing w:after="0" w:line="240" w:lineRule="auto"/>
        <w:ind w:firstLine="567"/>
        <w:jc w:val="both"/>
        <w:rPr>
          <w:lang w:val="en-GB"/>
        </w:rPr>
      </w:pPr>
      <w:r w:rsidRPr="00180B8D">
        <w:rPr>
          <w:lang w:val="en-GB"/>
        </w:rPr>
        <w:t> </w:t>
      </w:r>
    </w:p>
    <w:p w14:paraId="0C95D2F8" w14:textId="37D2C2D7" w:rsidR="00657236" w:rsidRPr="00180B8D" w:rsidRDefault="002E2994">
      <w:pPr>
        <w:pStyle w:val="P68B1DB1-Normal2"/>
        <w:spacing w:after="0" w:line="240" w:lineRule="auto"/>
        <w:jc w:val="center"/>
        <w:rPr>
          <w:lang w:val="en-GB"/>
        </w:rPr>
      </w:pPr>
      <w:r>
        <w:rPr>
          <w:noProof/>
        </w:rPr>
        <w:drawing>
          <wp:inline distT="0" distB="0" distL="0" distR="0" wp14:anchorId="51001EAB" wp14:editId="66C87DEE">
            <wp:extent cx="4437048" cy="549843"/>
            <wp:effectExtent l="0" t="0" r="1905" b="3175"/>
            <wp:docPr id="1226966915" name="Picture 3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image"/>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499855" cy="557626"/>
                    </a:xfrm>
                    <a:prstGeom prst="rect">
                      <a:avLst/>
                    </a:prstGeom>
                    <a:noFill/>
                    <a:ln>
                      <a:noFill/>
                    </a:ln>
                  </pic:spPr>
                </pic:pic>
              </a:graphicData>
            </a:graphic>
          </wp:inline>
        </w:drawing>
      </w:r>
    </w:p>
    <w:p w14:paraId="6ACB2B04" w14:textId="77777777" w:rsidR="00657236" w:rsidRPr="00180B8D" w:rsidRDefault="00D655E7">
      <w:pPr>
        <w:pStyle w:val="P68B1DB1-Normal2"/>
        <w:spacing w:after="0" w:line="240" w:lineRule="auto"/>
        <w:ind w:firstLine="567"/>
        <w:jc w:val="both"/>
        <w:rPr>
          <w:lang w:val="en-GB"/>
        </w:rPr>
      </w:pPr>
      <w:r w:rsidRPr="00180B8D">
        <w:rPr>
          <w:lang w:val="en-GB"/>
        </w:rPr>
        <w:t> </w:t>
      </w:r>
    </w:p>
    <w:p w14:paraId="0F3E17C4" w14:textId="281315C7" w:rsidR="00657236" w:rsidRPr="00180B8D" w:rsidRDefault="002E2994">
      <w:pPr>
        <w:pStyle w:val="P68B1DB1-Normal2"/>
        <w:spacing w:after="0" w:line="240" w:lineRule="auto"/>
        <w:jc w:val="center"/>
        <w:rPr>
          <w:lang w:val="en-GB"/>
        </w:rPr>
      </w:pPr>
      <w:r>
        <w:rPr>
          <w:noProof/>
        </w:rPr>
        <w:drawing>
          <wp:inline distT="0" distB="0" distL="0" distR="0" wp14:anchorId="39F8723A" wp14:editId="6B98DD9D">
            <wp:extent cx="4460903" cy="582997"/>
            <wp:effectExtent l="0" t="0" r="0" b="7620"/>
            <wp:docPr id="2058516708" name="Picture 3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image"/>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4510591" cy="589491"/>
                    </a:xfrm>
                    <a:prstGeom prst="rect">
                      <a:avLst/>
                    </a:prstGeom>
                    <a:noFill/>
                    <a:ln>
                      <a:noFill/>
                    </a:ln>
                  </pic:spPr>
                </pic:pic>
              </a:graphicData>
            </a:graphic>
          </wp:inline>
        </w:drawing>
      </w:r>
    </w:p>
    <w:p w14:paraId="5C226F7A" w14:textId="77777777" w:rsidR="00657236" w:rsidRPr="00180B8D" w:rsidRDefault="00D655E7">
      <w:pPr>
        <w:pStyle w:val="P68B1DB1-Normal2"/>
        <w:spacing w:after="0" w:line="240" w:lineRule="auto"/>
        <w:ind w:firstLine="567"/>
        <w:jc w:val="both"/>
        <w:rPr>
          <w:lang w:val="en-GB"/>
        </w:rPr>
      </w:pPr>
      <w:r w:rsidRPr="00180B8D">
        <w:rPr>
          <w:lang w:val="en-GB"/>
        </w:rPr>
        <w:t>where:</w:t>
      </w:r>
    </w:p>
    <w:p w14:paraId="301B7AC8" w14:textId="397F29CA" w:rsidR="00657236" w:rsidRPr="00180B8D" w:rsidRDefault="00D655E7">
      <w:pPr>
        <w:pStyle w:val="P68B1DB1-Normal2"/>
        <w:spacing w:after="0" w:line="240" w:lineRule="auto"/>
        <w:ind w:firstLine="567"/>
        <w:jc w:val="both"/>
        <w:rPr>
          <w:lang w:val="en-GB"/>
        </w:rPr>
      </w:pPr>
      <w:r w:rsidRPr="00180B8D">
        <w:rPr>
          <w:noProof/>
          <w:lang w:val="en-GB"/>
        </w:rPr>
        <w:drawing>
          <wp:inline distT="0" distB="0" distL="0" distR="0" wp14:anchorId="38E758F7" wp14:editId="26E85524">
            <wp:extent cx="293370" cy="16383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3370" cy="163830"/>
                    </a:xfrm>
                    <a:prstGeom prst="rect">
                      <a:avLst/>
                    </a:prstGeom>
                    <a:noFill/>
                    <a:ln>
                      <a:noFill/>
                    </a:ln>
                  </pic:spPr>
                </pic:pic>
              </a:graphicData>
            </a:graphic>
          </wp:inline>
        </w:drawing>
      </w:r>
      <w:r w:rsidRPr="00180B8D">
        <w:rPr>
          <w:lang w:val="en-GB"/>
        </w:rPr>
        <w:t xml:space="preserve">= </w:t>
      </w:r>
      <w:r w:rsidR="00BB0D1B" w:rsidRPr="00BB0D1B">
        <w:t xml:space="preserve">the sensitivities of the aggregate CVA to a commodity spot price risk </w:t>
      </w:r>
      <w:proofErr w:type="gramStart"/>
      <w:r w:rsidR="00BB0D1B" w:rsidRPr="00BB0D1B">
        <w:t>factor</w:t>
      </w:r>
      <w:r w:rsidRPr="00180B8D">
        <w:rPr>
          <w:lang w:val="en-GB"/>
        </w:rPr>
        <w:t>;</w:t>
      </w:r>
      <w:proofErr w:type="gramEnd"/>
    </w:p>
    <w:p w14:paraId="29420DDE" w14:textId="02990551" w:rsidR="00657236" w:rsidRPr="00180B8D" w:rsidRDefault="00D655E7">
      <w:pPr>
        <w:pStyle w:val="P68B1DB1-Normal2"/>
        <w:spacing w:after="0" w:line="240" w:lineRule="auto"/>
        <w:ind w:firstLine="567"/>
        <w:jc w:val="both"/>
        <w:rPr>
          <w:lang w:val="en-GB"/>
        </w:rPr>
      </w:pPr>
      <w:r w:rsidRPr="00180B8D">
        <w:rPr>
          <w:i/>
          <w:lang w:val="en-GB"/>
        </w:rPr>
        <w:t>CTY</w:t>
      </w:r>
      <w:r w:rsidRPr="00180B8D">
        <w:rPr>
          <w:lang w:val="en-GB"/>
        </w:rPr>
        <w:t xml:space="preserve"> = </w:t>
      </w:r>
      <w:r w:rsidR="00BB0D1B" w:rsidRPr="00BB0D1B">
        <w:t xml:space="preserve">the value of the commodity spot </w:t>
      </w:r>
      <w:proofErr w:type="gramStart"/>
      <w:r w:rsidR="00BB0D1B" w:rsidRPr="00BB0D1B">
        <w:t>price</w:t>
      </w:r>
      <w:r w:rsidRPr="00180B8D">
        <w:rPr>
          <w:lang w:val="en-GB"/>
        </w:rPr>
        <w:t>;</w:t>
      </w:r>
      <w:proofErr w:type="gramEnd"/>
    </w:p>
    <w:p w14:paraId="661AD4DD" w14:textId="6561EB4B"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CVA</w:t>
      </w:r>
      <w:r w:rsidRPr="00180B8D">
        <w:rPr>
          <w:i/>
          <w:lang w:val="en-GB"/>
        </w:rPr>
        <w:t xml:space="preserve"> =</w:t>
      </w:r>
      <w:r w:rsidRPr="00180B8D">
        <w:rPr>
          <w:lang w:val="en-GB"/>
        </w:rPr>
        <w:t xml:space="preserve"> </w:t>
      </w:r>
      <w:r w:rsidR="00BB0D1B" w:rsidRPr="00BB0D1B">
        <w:t xml:space="preserve">the aggregate CVA calculated by the regulatory CVA </w:t>
      </w:r>
      <w:proofErr w:type="gramStart"/>
      <w:r w:rsidR="00BB0D1B" w:rsidRPr="00BB0D1B">
        <w:t>model</w:t>
      </w:r>
      <w:r w:rsidRPr="00180B8D">
        <w:rPr>
          <w:lang w:val="en-GB"/>
        </w:rPr>
        <w:t>;</w:t>
      </w:r>
      <w:proofErr w:type="gramEnd"/>
    </w:p>
    <w:p w14:paraId="2E650C9C" w14:textId="455DB882" w:rsidR="00657236" w:rsidRPr="00180B8D" w:rsidRDefault="00D655E7">
      <w:pPr>
        <w:pStyle w:val="P68B1DB1-Normal2"/>
        <w:spacing w:after="0" w:line="240" w:lineRule="auto"/>
        <w:ind w:firstLine="567"/>
        <w:jc w:val="both"/>
        <w:rPr>
          <w:lang w:val="en-GB"/>
        </w:rPr>
      </w:pPr>
      <w:r w:rsidRPr="00180B8D">
        <w:rPr>
          <w:i/>
          <w:lang w:val="en-GB"/>
        </w:rPr>
        <w:t>x, y</w:t>
      </w:r>
      <w:r w:rsidRPr="00180B8D">
        <w:rPr>
          <w:lang w:val="en-GB"/>
        </w:rPr>
        <w:t xml:space="preserve"> = risk factors other than </w:t>
      </w:r>
      <w:r w:rsidRPr="00180B8D">
        <w:rPr>
          <w:i/>
          <w:lang w:val="en-GB"/>
        </w:rPr>
        <w:t>CTY</w:t>
      </w:r>
      <w:r w:rsidRPr="00180B8D">
        <w:rPr>
          <w:lang w:val="en-GB"/>
        </w:rPr>
        <w:t xml:space="preserve"> in </w:t>
      </w:r>
      <w:r w:rsidRPr="00180B8D">
        <w:rPr>
          <w:i/>
          <w:lang w:val="en-GB"/>
        </w:rPr>
        <w:t>V</w:t>
      </w:r>
      <w:r w:rsidRPr="00180B8D">
        <w:rPr>
          <w:i/>
          <w:vertAlign w:val="subscript"/>
          <w:lang w:val="en-GB"/>
        </w:rPr>
        <w:t xml:space="preserve"> </w:t>
      </w:r>
      <w:proofErr w:type="gramStart"/>
      <w:r w:rsidRPr="00180B8D">
        <w:rPr>
          <w:i/>
          <w:vertAlign w:val="subscript"/>
          <w:lang w:val="en-GB"/>
        </w:rPr>
        <w:t>CVA</w:t>
      </w:r>
      <w:r w:rsidRPr="00180B8D">
        <w:rPr>
          <w:lang w:val="en-GB"/>
        </w:rPr>
        <w:t xml:space="preserve"> ;</w:t>
      </w:r>
      <w:proofErr w:type="gramEnd"/>
    </w:p>
    <w:p w14:paraId="75A18CD8" w14:textId="591BEE59" w:rsidR="00657236" w:rsidRPr="00180B8D" w:rsidRDefault="00BB0D1B">
      <w:pPr>
        <w:pStyle w:val="P68B1DB1-Normal2"/>
        <w:spacing w:after="0" w:line="240" w:lineRule="auto"/>
        <w:ind w:firstLine="567"/>
        <w:jc w:val="both"/>
        <w:rPr>
          <w:lang w:val="en-GB"/>
        </w:rPr>
      </w:pPr>
      <w:r>
        <w:rPr>
          <w:noProof/>
        </w:rPr>
        <w:drawing>
          <wp:inline distT="0" distB="0" distL="0" distR="0" wp14:anchorId="6128A582" wp14:editId="6784A55B">
            <wp:extent cx="469265" cy="254635"/>
            <wp:effectExtent l="0" t="0" r="6985" b="0"/>
            <wp:docPr id="522254294" name="Picture 3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image"/>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69265" cy="254635"/>
                    </a:xfrm>
                    <a:prstGeom prst="rect">
                      <a:avLst/>
                    </a:prstGeom>
                    <a:noFill/>
                    <a:ln>
                      <a:noFill/>
                    </a:ln>
                  </pic:spPr>
                </pic:pic>
              </a:graphicData>
            </a:graphic>
          </wp:inline>
        </w:drawing>
      </w:r>
      <w:r w:rsidRPr="00180B8D">
        <w:rPr>
          <w:lang w:val="en-GB"/>
        </w:rPr>
        <w:t xml:space="preserve">= </w:t>
      </w:r>
      <w:r w:rsidRPr="00BB0D1B">
        <w:t xml:space="preserve">the sensitivities of the eligible hedge i to a commodity spot price risk </w:t>
      </w:r>
      <w:proofErr w:type="gramStart"/>
      <w:r w:rsidRPr="00BB0D1B">
        <w:t>factor</w:t>
      </w:r>
      <w:r w:rsidRPr="00180B8D">
        <w:rPr>
          <w:lang w:val="en-GB"/>
        </w:rPr>
        <w:t>;</w:t>
      </w:r>
      <w:proofErr w:type="gramEnd"/>
    </w:p>
    <w:p w14:paraId="51A521F2" w14:textId="30F0EF83"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 xml:space="preserve"> i =</w:t>
      </w:r>
      <w:r w:rsidRPr="00180B8D">
        <w:rPr>
          <w:lang w:val="en-GB"/>
        </w:rPr>
        <w:t xml:space="preserve"> </w:t>
      </w:r>
      <w:r w:rsidR="00BB0D1B" w:rsidRPr="00BB0D1B">
        <w:t xml:space="preserve">the pricing function of the eligible hedge </w:t>
      </w:r>
      <w:proofErr w:type="gramStart"/>
      <w:r w:rsidR="00BB0D1B" w:rsidRPr="00BB0D1B">
        <w:t>i</w:t>
      </w:r>
      <w:r w:rsidRPr="00180B8D">
        <w:rPr>
          <w:lang w:val="en-GB"/>
        </w:rPr>
        <w:t>;</w:t>
      </w:r>
      <w:proofErr w:type="gramEnd"/>
    </w:p>
    <w:p w14:paraId="471414E9" w14:textId="5B1B05E6" w:rsidR="00657236" w:rsidRPr="00180B8D" w:rsidRDefault="00D655E7">
      <w:pPr>
        <w:pStyle w:val="P68B1DB1-Normal2"/>
        <w:spacing w:after="0" w:line="240" w:lineRule="auto"/>
        <w:ind w:firstLine="567"/>
        <w:jc w:val="both"/>
        <w:rPr>
          <w:lang w:val="en-GB"/>
        </w:rPr>
      </w:pPr>
      <w:r w:rsidRPr="00180B8D">
        <w:rPr>
          <w:lang w:val="en-GB"/>
        </w:rPr>
        <w:t xml:space="preserve">w, z = risk factors other than </w:t>
      </w:r>
      <w:r w:rsidRPr="00180B8D">
        <w:rPr>
          <w:i/>
          <w:lang w:val="en-GB"/>
        </w:rPr>
        <w:t>CTY</w:t>
      </w:r>
      <w:r w:rsidRPr="00180B8D">
        <w:rPr>
          <w:lang w:val="en-GB"/>
        </w:rPr>
        <w:t xml:space="preserve"> </w:t>
      </w:r>
      <w:r w:rsidR="00BB0D1B" w:rsidRPr="00BB0D1B">
        <w:t>in the pricing function</w:t>
      </w:r>
      <w:r w:rsidR="00BB0D1B">
        <w:t xml:space="preserve"> </w:t>
      </w:r>
      <w:r w:rsidRPr="00180B8D">
        <w:rPr>
          <w:i/>
          <w:lang w:val="en-GB"/>
        </w:rPr>
        <w:t>V</w:t>
      </w:r>
      <w:r w:rsidRPr="00180B8D">
        <w:rPr>
          <w:i/>
          <w:vertAlign w:val="subscript"/>
          <w:lang w:val="en-GB"/>
        </w:rPr>
        <w:t xml:space="preserve"> </w:t>
      </w:r>
      <w:proofErr w:type="gramStart"/>
      <w:r w:rsidRPr="00180B8D">
        <w:rPr>
          <w:i/>
          <w:vertAlign w:val="subscript"/>
          <w:lang w:val="en-GB"/>
        </w:rPr>
        <w:t>i</w:t>
      </w:r>
      <w:r w:rsidRPr="00180B8D">
        <w:rPr>
          <w:lang w:val="en-GB"/>
        </w:rPr>
        <w:t xml:space="preserve"> .</w:t>
      </w:r>
      <w:proofErr w:type="gramEnd"/>
    </w:p>
    <w:p w14:paraId="6872F9DF" w14:textId="77777777" w:rsidR="00657236" w:rsidRPr="00180B8D" w:rsidRDefault="00D655E7">
      <w:pPr>
        <w:pStyle w:val="P68B1DB1-Normal2"/>
        <w:spacing w:after="0" w:line="240" w:lineRule="auto"/>
        <w:ind w:firstLine="567"/>
        <w:jc w:val="both"/>
        <w:rPr>
          <w:lang w:val="en-GB"/>
        </w:rPr>
      </w:pPr>
      <w:r w:rsidRPr="00180B8D">
        <w:rPr>
          <w:lang w:val="en-GB"/>
        </w:rPr>
        <w:t> </w:t>
      </w:r>
    </w:p>
    <w:p w14:paraId="1DE8C7F1" w14:textId="09F1A6D4" w:rsidR="00657236" w:rsidRPr="00180B8D" w:rsidRDefault="00D655E7">
      <w:pPr>
        <w:pStyle w:val="P68B1DB1-Normal2"/>
        <w:spacing w:after="0" w:line="240" w:lineRule="auto"/>
        <w:ind w:firstLine="567"/>
        <w:jc w:val="both"/>
        <w:rPr>
          <w:lang w:val="en-GB"/>
        </w:rPr>
      </w:pPr>
      <w:r w:rsidRPr="00180B8D">
        <w:rPr>
          <w:b/>
          <w:lang w:val="en-GB"/>
        </w:rPr>
        <w:t>69.</w:t>
      </w:r>
      <w:r w:rsidRPr="00180B8D">
        <w:rPr>
          <w:lang w:val="en-GB"/>
        </w:rPr>
        <w:t xml:space="preserve"> Banks shall calculate the </w:t>
      </w:r>
      <w:proofErr w:type="spellStart"/>
      <w:r w:rsidRPr="00180B8D">
        <w:rPr>
          <w:lang w:val="en-GB"/>
        </w:rPr>
        <w:t>vega</w:t>
      </w:r>
      <w:proofErr w:type="spellEnd"/>
      <w:r w:rsidRPr="00180B8D">
        <w:rPr>
          <w:lang w:val="en-GB"/>
        </w:rPr>
        <w:t xml:space="preserve"> risk sensitivities of the aggregate CVA to risk factors consisting of implied volatility, as well as of a</w:t>
      </w:r>
      <w:r w:rsidR="00BB0D1B">
        <w:rPr>
          <w:lang w:val="en-GB"/>
        </w:rPr>
        <w:t>n</w:t>
      </w:r>
      <w:r w:rsidRPr="00180B8D">
        <w:rPr>
          <w:lang w:val="en-GB"/>
        </w:rPr>
        <w:t xml:space="preserve"> </w:t>
      </w:r>
      <w:r w:rsidR="00BB0D1B" w:rsidRPr="00180B8D">
        <w:rPr>
          <w:lang w:val="en-GB"/>
        </w:rPr>
        <w:t xml:space="preserve">eligible </w:t>
      </w:r>
      <w:r w:rsidRPr="00180B8D">
        <w:rPr>
          <w:lang w:val="en-GB"/>
        </w:rPr>
        <w:t>hedg</w:t>
      </w:r>
      <w:r w:rsidR="00BB0D1B">
        <w:rPr>
          <w:lang w:val="en-GB"/>
        </w:rPr>
        <w:t>e</w:t>
      </w:r>
      <w:r w:rsidRPr="00180B8D">
        <w:rPr>
          <w:lang w:val="en-GB"/>
        </w:rPr>
        <w:t xml:space="preserve"> instrument to those risk factors, as follows:</w:t>
      </w:r>
    </w:p>
    <w:p w14:paraId="064B198F" w14:textId="77777777" w:rsidR="00657236" w:rsidRPr="00180B8D" w:rsidRDefault="00D655E7">
      <w:pPr>
        <w:pStyle w:val="P68B1DB1-Normal2"/>
        <w:spacing w:after="0" w:line="240" w:lineRule="auto"/>
        <w:ind w:firstLine="567"/>
        <w:jc w:val="both"/>
        <w:rPr>
          <w:lang w:val="en-GB"/>
        </w:rPr>
      </w:pPr>
      <w:r w:rsidRPr="00180B8D">
        <w:rPr>
          <w:lang w:val="en-GB"/>
        </w:rPr>
        <w:t> </w:t>
      </w:r>
    </w:p>
    <w:p w14:paraId="0A202E7C" w14:textId="54C3D004" w:rsidR="00657236" w:rsidRPr="00180B8D" w:rsidRDefault="00BB0D1B">
      <w:pPr>
        <w:pStyle w:val="P68B1DB1-Normal2"/>
        <w:spacing w:after="0" w:line="240" w:lineRule="auto"/>
        <w:jc w:val="center"/>
        <w:rPr>
          <w:lang w:val="en-GB"/>
        </w:rPr>
      </w:pPr>
      <w:r w:rsidRPr="00BB0D1B">
        <w:t xml:space="preserve"> </w:t>
      </w:r>
      <w:r>
        <w:rPr>
          <w:noProof/>
        </w:rPr>
        <w:drawing>
          <wp:inline distT="0" distB="0" distL="0" distR="0" wp14:anchorId="4ABEAAD1" wp14:editId="7F1BC5EA">
            <wp:extent cx="4405050" cy="557202"/>
            <wp:effectExtent l="0" t="0" r="0" b="0"/>
            <wp:docPr id="1980017590" name="Picture 3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image"/>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445779" cy="562354"/>
                    </a:xfrm>
                    <a:prstGeom prst="rect">
                      <a:avLst/>
                    </a:prstGeom>
                    <a:noFill/>
                    <a:ln>
                      <a:noFill/>
                    </a:ln>
                  </pic:spPr>
                </pic:pic>
              </a:graphicData>
            </a:graphic>
          </wp:inline>
        </w:drawing>
      </w:r>
    </w:p>
    <w:p w14:paraId="0FA412FB" w14:textId="77777777" w:rsidR="00657236" w:rsidRPr="00180B8D" w:rsidRDefault="00D655E7">
      <w:pPr>
        <w:pStyle w:val="P68B1DB1-Normal2"/>
        <w:spacing w:after="0" w:line="240" w:lineRule="auto"/>
        <w:jc w:val="center"/>
        <w:rPr>
          <w:lang w:val="en-GB"/>
        </w:rPr>
      </w:pPr>
      <w:r w:rsidRPr="00180B8D">
        <w:rPr>
          <w:lang w:val="en-GB"/>
        </w:rPr>
        <w:t> </w:t>
      </w:r>
    </w:p>
    <w:p w14:paraId="2478E90C" w14:textId="62CDF660" w:rsidR="00657236" w:rsidRPr="00180B8D" w:rsidRDefault="00BB0D1B">
      <w:pPr>
        <w:pStyle w:val="P68B1DB1-Normal2"/>
        <w:spacing w:after="0" w:line="240" w:lineRule="auto"/>
        <w:jc w:val="center"/>
        <w:rPr>
          <w:lang w:val="en-GB"/>
        </w:rPr>
      </w:pPr>
      <w:r w:rsidRPr="00BB0D1B">
        <w:t xml:space="preserve"> </w:t>
      </w:r>
      <w:r>
        <w:rPr>
          <w:noProof/>
        </w:rPr>
        <w:drawing>
          <wp:inline distT="0" distB="0" distL="0" distR="0" wp14:anchorId="7F4E5AD6" wp14:editId="617F4C24">
            <wp:extent cx="4429152" cy="584390"/>
            <wp:effectExtent l="0" t="0" r="0" b="6350"/>
            <wp:docPr id="1740065849" name="Picture 3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image"/>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482071" cy="591372"/>
                    </a:xfrm>
                    <a:prstGeom prst="rect">
                      <a:avLst/>
                    </a:prstGeom>
                    <a:noFill/>
                    <a:ln>
                      <a:noFill/>
                    </a:ln>
                  </pic:spPr>
                </pic:pic>
              </a:graphicData>
            </a:graphic>
          </wp:inline>
        </w:drawing>
      </w:r>
    </w:p>
    <w:p w14:paraId="4D913E3C" w14:textId="77777777" w:rsidR="00657236" w:rsidRPr="00180B8D" w:rsidRDefault="00D655E7">
      <w:pPr>
        <w:pStyle w:val="P68B1DB1-Normal2"/>
        <w:spacing w:after="0" w:line="240" w:lineRule="auto"/>
        <w:ind w:firstLine="567"/>
        <w:jc w:val="both"/>
        <w:rPr>
          <w:lang w:val="en-GB"/>
        </w:rPr>
      </w:pPr>
      <w:r w:rsidRPr="00180B8D">
        <w:rPr>
          <w:lang w:val="en-GB"/>
        </w:rPr>
        <w:t>where:</w:t>
      </w:r>
    </w:p>
    <w:p w14:paraId="580D6B92" w14:textId="234ADE4B" w:rsidR="00657236" w:rsidRPr="00180B8D" w:rsidRDefault="00D655E7">
      <w:pPr>
        <w:pStyle w:val="P68B1DB1-Normal2"/>
        <w:spacing w:after="0" w:line="240" w:lineRule="auto"/>
        <w:ind w:firstLine="567"/>
        <w:jc w:val="both"/>
        <w:rPr>
          <w:lang w:val="en-GB"/>
        </w:rPr>
      </w:pPr>
      <w:r w:rsidRPr="00180B8D">
        <w:rPr>
          <w:noProof/>
          <w:lang w:val="en-GB"/>
        </w:rPr>
        <w:drawing>
          <wp:inline distT="0" distB="0" distL="0" distR="0" wp14:anchorId="77AFEA70" wp14:editId="47E8BED0">
            <wp:extent cx="379730" cy="259080"/>
            <wp:effectExtent l="0" t="0" r="127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79730" cy="259080"/>
                    </a:xfrm>
                    <a:prstGeom prst="rect">
                      <a:avLst/>
                    </a:prstGeom>
                    <a:noFill/>
                    <a:ln>
                      <a:noFill/>
                    </a:ln>
                  </pic:spPr>
                </pic:pic>
              </a:graphicData>
            </a:graphic>
          </wp:inline>
        </w:drawing>
      </w:r>
      <w:r w:rsidRPr="00180B8D">
        <w:rPr>
          <w:lang w:val="en-GB"/>
        </w:rPr>
        <w:t xml:space="preserve">= </w:t>
      </w:r>
      <w:r w:rsidR="00BB0D1B" w:rsidRPr="00BB0D1B">
        <w:t xml:space="preserve">the sensitivities of the aggregate CVA to an implied volatility risk </w:t>
      </w:r>
      <w:proofErr w:type="gramStart"/>
      <w:r w:rsidR="00BB0D1B" w:rsidRPr="00BB0D1B">
        <w:t>factor</w:t>
      </w:r>
      <w:r w:rsidRPr="00180B8D">
        <w:rPr>
          <w:lang w:val="en-GB"/>
        </w:rPr>
        <w:t>;</w:t>
      </w:r>
      <w:proofErr w:type="gramEnd"/>
    </w:p>
    <w:p w14:paraId="15E4AFD6" w14:textId="309FD499" w:rsidR="00657236" w:rsidRPr="00180B8D" w:rsidRDefault="00D655E7">
      <w:pPr>
        <w:pStyle w:val="P68B1DB1-Normal2"/>
        <w:spacing w:after="0" w:line="240" w:lineRule="auto"/>
        <w:ind w:firstLine="567"/>
        <w:jc w:val="both"/>
        <w:rPr>
          <w:lang w:val="en-GB"/>
        </w:rPr>
      </w:pPr>
      <w:r w:rsidRPr="00180B8D">
        <w:rPr>
          <w:i/>
          <w:lang w:val="en-GB"/>
        </w:rPr>
        <w:t>vol</w:t>
      </w:r>
      <w:r w:rsidRPr="00180B8D">
        <w:rPr>
          <w:i/>
          <w:vertAlign w:val="subscript"/>
          <w:lang w:val="en-GB"/>
        </w:rPr>
        <w:t>k</w:t>
      </w:r>
      <w:r w:rsidRPr="00180B8D">
        <w:rPr>
          <w:lang w:val="en-GB"/>
        </w:rPr>
        <w:t xml:space="preserve"> </w:t>
      </w:r>
      <w:r w:rsidRPr="00180B8D">
        <w:rPr>
          <w:i/>
          <w:lang w:val="en-GB"/>
        </w:rPr>
        <w:t>=</w:t>
      </w:r>
      <w:r w:rsidRPr="00180B8D">
        <w:rPr>
          <w:lang w:val="en-GB"/>
        </w:rPr>
        <w:t xml:space="preserve"> </w:t>
      </w:r>
      <w:r w:rsidR="00BB0D1B" w:rsidRPr="00BB0D1B">
        <w:t xml:space="preserve">the value of the implied volatility risk </w:t>
      </w:r>
      <w:proofErr w:type="gramStart"/>
      <w:r w:rsidR="00BB0D1B" w:rsidRPr="00BB0D1B">
        <w:t>factor</w:t>
      </w:r>
      <w:r w:rsidRPr="00180B8D">
        <w:rPr>
          <w:lang w:val="en-GB"/>
        </w:rPr>
        <w:t>;</w:t>
      </w:r>
      <w:proofErr w:type="gramEnd"/>
    </w:p>
    <w:p w14:paraId="013A5886" w14:textId="75A6D820"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CVA</w:t>
      </w:r>
      <w:r w:rsidRPr="00180B8D">
        <w:rPr>
          <w:lang w:val="en-GB"/>
        </w:rPr>
        <w:t xml:space="preserve"> = </w:t>
      </w:r>
      <w:r w:rsidR="008941F1">
        <w:rPr>
          <w:lang w:val="en-GB"/>
        </w:rPr>
        <w:t>t</w:t>
      </w:r>
      <w:r w:rsidR="00BB0D1B" w:rsidRPr="00BB0D1B">
        <w:t xml:space="preserve">he aggregate CVA calculated by the regulatory CVA </w:t>
      </w:r>
      <w:proofErr w:type="gramStart"/>
      <w:r w:rsidR="00BB0D1B" w:rsidRPr="00BB0D1B">
        <w:t>model</w:t>
      </w:r>
      <w:r w:rsidRPr="00180B8D">
        <w:rPr>
          <w:lang w:val="en-GB"/>
        </w:rPr>
        <w:t>;</w:t>
      </w:r>
      <w:proofErr w:type="gramEnd"/>
    </w:p>
    <w:p w14:paraId="3662AD80" w14:textId="485BACA7" w:rsidR="00657236" w:rsidRPr="00180B8D" w:rsidRDefault="00D655E7">
      <w:pPr>
        <w:pStyle w:val="P68B1DB1-Normal2"/>
        <w:spacing w:after="0" w:line="240" w:lineRule="auto"/>
        <w:ind w:firstLine="567"/>
        <w:jc w:val="both"/>
        <w:rPr>
          <w:lang w:val="en-GB"/>
        </w:rPr>
      </w:pPr>
      <w:r w:rsidRPr="00180B8D">
        <w:rPr>
          <w:lang w:val="en-GB"/>
        </w:rPr>
        <w:t xml:space="preserve">x, y = risk factors other than </w:t>
      </w:r>
      <w:r w:rsidRPr="00180B8D">
        <w:rPr>
          <w:i/>
          <w:lang w:val="en-GB"/>
        </w:rPr>
        <w:t>vol</w:t>
      </w:r>
      <w:r w:rsidRPr="00180B8D">
        <w:rPr>
          <w:i/>
          <w:vertAlign w:val="subscript"/>
          <w:lang w:val="en-GB"/>
        </w:rPr>
        <w:t>k</w:t>
      </w:r>
      <w:r w:rsidRPr="00180B8D">
        <w:rPr>
          <w:lang w:val="en-GB"/>
        </w:rPr>
        <w:t xml:space="preserve"> </w:t>
      </w:r>
      <w:r w:rsidR="00BB0D1B" w:rsidRPr="00BB0D1B">
        <w:t>in the pricing function</w:t>
      </w:r>
      <w:r w:rsidR="00BB0D1B">
        <w:t xml:space="preserve"> </w:t>
      </w:r>
      <w:proofErr w:type="gramStart"/>
      <w:r w:rsidRPr="00180B8D">
        <w:rPr>
          <w:i/>
          <w:lang w:val="en-GB"/>
        </w:rPr>
        <w:t>V</w:t>
      </w:r>
      <w:r w:rsidRPr="00180B8D">
        <w:rPr>
          <w:i/>
          <w:vertAlign w:val="subscript"/>
          <w:lang w:val="en-GB"/>
        </w:rPr>
        <w:t>CVA</w:t>
      </w:r>
      <w:r w:rsidRPr="00180B8D">
        <w:rPr>
          <w:lang w:val="en-GB"/>
        </w:rPr>
        <w:t xml:space="preserve"> ;</w:t>
      </w:r>
      <w:proofErr w:type="gramEnd"/>
    </w:p>
    <w:p w14:paraId="02A6D069" w14:textId="5386D327" w:rsidR="00657236" w:rsidRPr="00180B8D" w:rsidRDefault="00BB0D1B">
      <w:pPr>
        <w:pStyle w:val="P68B1DB1-Normal2"/>
        <w:spacing w:after="0" w:line="240" w:lineRule="auto"/>
        <w:ind w:firstLine="567"/>
        <w:jc w:val="both"/>
        <w:rPr>
          <w:lang w:val="en-GB"/>
        </w:rPr>
      </w:pPr>
      <w:r>
        <w:rPr>
          <w:noProof/>
        </w:rPr>
        <w:drawing>
          <wp:inline distT="0" distB="0" distL="0" distR="0" wp14:anchorId="4291107E" wp14:editId="5B665019">
            <wp:extent cx="508635" cy="254635"/>
            <wp:effectExtent l="0" t="0" r="5715" b="0"/>
            <wp:docPr id="1255145614" name="Picture 3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image"/>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08635" cy="254635"/>
                    </a:xfrm>
                    <a:prstGeom prst="rect">
                      <a:avLst/>
                    </a:prstGeom>
                    <a:noFill/>
                    <a:ln>
                      <a:noFill/>
                    </a:ln>
                  </pic:spPr>
                </pic:pic>
              </a:graphicData>
            </a:graphic>
          </wp:inline>
        </w:drawing>
      </w:r>
      <w:r w:rsidRPr="00180B8D">
        <w:rPr>
          <w:lang w:val="en-GB"/>
        </w:rPr>
        <w:t xml:space="preserve">= </w:t>
      </w:r>
      <w:r w:rsidRPr="00BB0D1B">
        <w:t xml:space="preserve">the sensitivities of the eligible hedge instrument i to an implied volatility risk </w:t>
      </w:r>
      <w:proofErr w:type="gramStart"/>
      <w:r w:rsidRPr="00BB0D1B">
        <w:t>factor</w:t>
      </w:r>
      <w:r w:rsidRPr="00180B8D">
        <w:rPr>
          <w:lang w:val="en-GB"/>
        </w:rPr>
        <w:t>;</w:t>
      </w:r>
      <w:proofErr w:type="gramEnd"/>
      <w:r>
        <w:rPr>
          <w:lang w:val="en-GB"/>
        </w:rPr>
        <w:t xml:space="preserve"> </w:t>
      </w:r>
    </w:p>
    <w:p w14:paraId="549600F8" w14:textId="3A7AEA91" w:rsidR="00657236" w:rsidRPr="00180B8D" w:rsidRDefault="00D655E7">
      <w:pPr>
        <w:pStyle w:val="P68B1DB1-Normal2"/>
        <w:spacing w:after="0" w:line="240" w:lineRule="auto"/>
        <w:ind w:firstLine="567"/>
        <w:jc w:val="both"/>
        <w:rPr>
          <w:lang w:val="en-GB"/>
        </w:rPr>
      </w:pPr>
      <w:r w:rsidRPr="00180B8D">
        <w:rPr>
          <w:i/>
          <w:lang w:val="en-GB"/>
        </w:rPr>
        <w:t>V</w:t>
      </w:r>
      <w:r w:rsidRPr="00180B8D">
        <w:rPr>
          <w:i/>
          <w:vertAlign w:val="subscript"/>
          <w:lang w:val="en-GB"/>
        </w:rPr>
        <w:t>i</w:t>
      </w:r>
      <w:r w:rsidRPr="00180B8D">
        <w:rPr>
          <w:lang w:val="en-GB"/>
        </w:rPr>
        <w:t xml:space="preserve"> </w:t>
      </w:r>
      <w:r w:rsidRPr="00180B8D">
        <w:rPr>
          <w:i/>
          <w:lang w:val="en-GB"/>
        </w:rPr>
        <w:t>=</w:t>
      </w:r>
      <w:r w:rsidRPr="00180B8D">
        <w:rPr>
          <w:lang w:val="en-GB"/>
        </w:rPr>
        <w:t xml:space="preserve"> </w:t>
      </w:r>
      <w:r w:rsidR="009B03A2" w:rsidRPr="009B03A2">
        <w:t>the pricing function of the eligible hedge</w:t>
      </w:r>
      <w:r w:rsidRPr="00180B8D">
        <w:rPr>
          <w:lang w:val="en-GB"/>
        </w:rPr>
        <w:t xml:space="preserve"> </w:t>
      </w:r>
      <w:proofErr w:type="gramStart"/>
      <w:r w:rsidRPr="00180B8D">
        <w:rPr>
          <w:lang w:val="en-GB"/>
        </w:rPr>
        <w:t>i;</w:t>
      </w:r>
      <w:proofErr w:type="gramEnd"/>
    </w:p>
    <w:p w14:paraId="19B0061C" w14:textId="6E2563BD" w:rsidR="00657236" w:rsidRPr="00180B8D" w:rsidRDefault="00D655E7">
      <w:pPr>
        <w:pStyle w:val="P68B1DB1-Normal2"/>
        <w:spacing w:after="0" w:line="240" w:lineRule="auto"/>
        <w:ind w:firstLine="567"/>
        <w:jc w:val="both"/>
        <w:rPr>
          <w:lang w:val="en-GB"/>
        </w:rPr>
      </w:pPr>
      <w:r w:rsidRPr="00180B8D">
        <w:rPr>
          <w:i/>
          <w:lang w:val="en-GB"/>
        </w:rPr>
        <w:t>w, z</w:t>
      </w:r>
      <w:r w:rsidRPr="00180B8D">
        <w:rPr>
          <w:lang w:val="en-GB"/>
        </w:rPr>
        <w:t xml:space="preserve"> = risk factors other than </w:t>
      </w:r>
      <w:r w:rsidRPr="00180B8D">
        <w:rPr>
          <w:i/>
          <w:lang w:val="en-GB"/>
        </w:rPr>
        <w:t>vol</w:t>
      </w:r>
      <w:r w:rsidRPr="00180B8D">
        <w:rPr>
          <w:i/>
          <w:vertAlign w:val="subscript"/>
          <w:lang w:val="en-GB"/>
        </w:rPr>
        <w:t>k</w:t>
      </w:r>
      <w:r w:rsidRPr="00180B8D">
        <w:rPr>
          <w:lang w:val="en-GB"/>
        </w:rPr>
        <w:t xml:space="preserve"> </w:t>
      </w:r>
      <w:r w:rsidR="009B03A2" w:rsidRPr="009B03A2">
        <w:t>in the pricing function</w:t>
      </w:r>
      <w:r w:rsidR="009B03A2">
        <w:t xml:space="preserve"> </w:t>
      </w:r>
      <w:r w:rsidRPr="00180B8D">
        <w:rPr>
          <w:i/>
          <w:lang w:val="en-GB"/>
        </w:rPr>
        <w:t>Vi.</w:t>
      </w:r>
    </w:p>
    <w:p w14:paraId="10E72CC0" w14:textId="77777777" w:rsidR="00657236" w:rsidRPr="00180B8D" w:rsidRDefault="00D655E7">
      <w:pPr>
        <w:pStyle w:val="P68B1DB1-Normal2"/>
        <w:spacing w:after="0" w:line="240" w:lineRule="auto"/>
        <w:jc w:val="center"/>
        <w:rPr>
          <w:lang w:val="en-GB"/>
        </w:rPr>
      </w:pPr>
      <w:r w:rsidRPr="00180B8D">
        <w:rPr>
          <w:lang w:val="en-GB"/>
        </w:rPr>
        <w:t> </w:t>
      </w:r>
    </w:p>
    <w:p w14:paraId="0FAC8DA8" w14:textId="77777777" w:rsidR="00657236" w:rsidRPr="00180B8D" w:rsidRDefault="00D655E7">
      <w:pPr>
        <w:pStyle w:val="P68B1DB1-Normal3"/>
        <w:spacing w:after="0" w:line="240" w:lineRule="auto"/>
        <w:jc w:val="center"/>
        <w:rPr>
          <w:lang w:val="en-GB"/>
        </w:rPr>
      </w:pPr>
      <w:r w:rsidRPr="00180B8D">
        <w:rPr>
          <w:lang w:val="en-GB"/>
        </w:rPr>
        <w:t>Section 11</w:t>
      </w:r>
    </w:p>
    <w:p w14:paraId="69C31994" w14:textId="77777777" w:rsidR="00657236" w:rsidRPr="00180B8D" w:rsidRDefault="00D655E7">
      <w:pPr>
        <w:pStyle w:val="P68B1DB1-Normal3"/>
        <w:spacing w:after="0" w:line="240" w:lineRule="auto"/>
        <w:jc w:val="center"/>
        <w:rPr>
          <w:lang w:val="en-GB"/>
        </w:rPr>
      </w:pPr>
      <w:r w:rsidRPr="00180B8D">
        <w:rPr>
          <w:lang w:val="en-GB"/>
        </w:rPr>
        <w:t>Risk weights for interest rate risk</w:t>
      </w:r>
    </w:p>
    <w:p w14:paraId="7CB941C4" w14:textId="6901600B" w:rsidR="00657236" w:rsidRPr="00180B8D" w:rsidRDefault="00D655E7">
      <w:pPr>
        <w:pStyle w:val="P68B1DB1-Normal2"/>
        <w:spacing w:after="0" w:line="240" w:lineRule="auto"/>
        <w:ind w:firstLine="567"/>
        <w:jc w:val="both"/>
        <w:rPr>
          <w:lang w:val="en-GB"/>
        </w:rPr>
      </w:pPr>
      <w:r w:rsidRPr="00180B8D">
        <w:rPr>
          <w:b/>
          <w:lang w:val="en-GB"/>
        </w:rPr>
        <w:lastRenderedPageBreak/>
        <w:t>70.</w:t>
      </w:r>
      <w:r w:rsidRPr="00180B8D">
        <w:rPr>
          <w:lang w:val="en-GB"/>
        </w:rPr>
        <w:t xml:space="preserve"> For the currencies referred to in paragraph 44, the risk weights of the risk-free rate delta sensitivities for each bucket in Table 1 </w:t>
      </w:r>
      <w:r w:rsidR="008941F1">
        <w:rPr>
          <w:lang w:val="en-GB"/>
        </w:rPr>
        <w:t>shall be</w:t>
      </w:r>
      <w:r w:rsidRPr="00180B8D">
        <w:rPr>
          <w:lang w:val="en-GB"/>
        </w:rPr>
        <w:t xml:space="preserve"> as follows:</w:t>
      </w:r>
    </w:p>
    <w:p w14:paraId="6A1CF7D5" w14:textId="77777777" w:rsidR="00657236" w:rsidRPr="00180B8D" w:rsidRDefault="00D655E7">
      <w:pPr>
        <w:pStyle w:val="P68B1DB1-Normal4"/>
        <w:spacing w:after="0" w:line="240" w:lineRule="auto"/>
        <w:jc w:val="right"/>
        <w:rPr>
          <w:lang w:val="en-GB"/>
        </w:rPr>
      </w:pPr>
      <w:r w:rsidRPr="00180B8D">
        <w:rPr>
          <w:lang w:val="en-GB"/>
        </w:rPr>
        <w:t>Table 1</w:t>
      </w:r>
    </w:p>
    <w:p w14:paraId="745C9B7D" w14:textId="77777777" w:rsidR="00657236" w:rsidRPr="00180B8D" w:rsidRDefault="00D655E7">
      <w:pPr>
        <w:pStyle w:val="P68B1DB1-Normal2"/>
        <w:spacing w:after="0" w:line="240" w:lineRule="auto"/>
        <w:jc w:val="right"/>
        <w:rPr>
          <w:lang w:val="en-GB"/>
        </w:rPr>
      </w:pPr>
      <w:r w:rsidRPr="00180B8D">
        <w:rPr>
          <w:lang w:val="en-GB"/>
        </w:rPr>
        <w:t> </w:t>
      </w:r>
    </w:p>
    <w:tbl>
      <w:tblPr>
        <w:tblW w:w="3500" w:type="pct"/>
        <w:jc w:val="center"/>
        <w:tblCellMar>
          <w:top w:w="15" w:type="dxa"/>
          <w:left w:w="15" w:type="dxa"/>
          <w:bottom w:w="15" w:type="dxa"/>
          <w:right w:w="15" w:type="dxa"/>
        </w:tblCellMar>
        <w:tblLook w:val="04A0" w:firstRow="1" w:lastRow="0" w:firstColumn="1" w:lastColumn="0" w:noHBand="0" w:noVBand="1"/>
      </w:tblPr>
      <w:tblGrid>
        <w:gridCol w:w="1694"/>
        <w:gridCol w:w="2138"/>
        <w:gridCol w:w="2705"/>
      </w:tblGrid>
      <w:tr w:rsidR="00657236" w:rsidRPr="00180B8D" w14:paraId="03AE9284"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FC606F1" w14:textId="1C991F31" w:rsidR="00657236" w:rsidRPr="00180B8D" w:rsidRDefault="008941F1">
            <w:pPr>
              <w:pStyle w:val="P68B1DB1-Normal1"/>
              <w:spacing w:after="0" w:line="240" w:lineRule="auto"/>
              <w:jc w:val="center"/>
              <w:rPr>
                <w:lang w:val="en-GB"/>
              </w:rPr>
            </w:pPr>
            <w:r w:rsidRPr="008941F1">
              <w:rPr>
                <w:bCs/>
              </w:rPr>
              <w:t>Bucket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B052133" w14:textId="2B3997F2" w:rsidR="00657236" w:rsidRPr="00180B8D" w:rsidRDefault="008941F1">
            <w:pPr>
              <w:pStyle w:val="P68B1DB1-Normal1"/>
              <w:spacing w:after="0" w:line="240" w:lineRule="auto"/>
              <w:jc w:val="center"/>
              <w:rPr>
                <w:lang w:val="en-GB"/>
              </w:rPr>
            </w:pPr>
            <w:r w:rsidRPr="008941F1">
              <w:rPr>
                <w:lang w:val="en-GB"/>
              </w:rPr>
              <w:t>Maturity</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ED7463E" w14:textId="4BE1F298" w:rsidR="00657236" w:rsidRPr="00180B8D" w:rsidRDefault="008941F1">
            <w:pPr>
              <w:pStyle w:val="P68B1DB1-Normal1"/>
              <w:spacing w:after="0" w:line="240" w:lineRule="auto"/>
              <w:jc w:val="center"/>
              <w:rPr>
                <w:lang w:val="en-GB"/>
              </w:rPr>
            </w:pPr>
            <w:r w:rsidRPr="008941F1">
              <w:rPr>
                <w:lang w:val="en-GB"/>
              </w:rPr>
              <w:t>Risk weight</w:t>
            </w:r>
          </w:p>
        </w:tc>
      </w:tr>
      <w:tr w:rsidR="00657236" w:rsidRPr="00180B8D" w14:paraId="1E1EE68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378B32" w14:textId="77777777" w:rsidR="00657236" w:rsidRPr="00180B8D" w:rsidRDefault="00D655E7">
            <w:pPr>
              <w:pStyle w:val="P68B1DB1-Normal2"/>
              <w:spacing w:after="0" w:line="240" w:lineRule="auto"/>
              <w:jc w:val="center"/>
              <w:rPr>
                <w:lang w:val="en-GB"/>
              </w:rPr>
            </w:pPr>
            <w:r w:rsidRPr="00180B8D">
              <w:rPr>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E3F4AC" w14:textId="77777777" w:rsidR="00657236" w:rsidRPr="00180B8D" w:rsidRDefault="00D655E7">
            <w:pPr>
              <w:pStyle w:val="P68B1DB1-Normal2"/>
              <w:spacing w:after="0" w:line="240" w:lineRule="auto"/>
              <w:rPr>
                <w:lang w:val="en-GB"/>
              </w:rPr>
            </w:pPr>
            <w:r w:rsidRPr="00180B8D">
              <w:rPr>
                <w:lang w:val="en-GB"/>
              </w:rPr>
              <w:t>1 year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2E5FD2" w14:textId="77777777" w:rsidR="00657236" w:rsidRPr="00180B8D" w:rsidRDefault="00D655E7">
            <w:pPr>
              <w:pStyle w:val="P68B1DB1-Normal2"/>
              <w:spacing w:after="0" w:line="240" w:lineRule="auto"/>
              <w:jc w:val="center"/>
              <w:rPr>
                <w:lang w:val="en-GB"/>
              </w:rPr>
            </w:pPr>
            <w:r w:rsidRPr="00180B8D">
              <w:rPr>
                <w:lang w:val="en-GB"/>
              </w:rPr>
              <w:t>1,11 %</w:t>
            </w:r>
          </w:p>
        </w:tc>
      </w:tr>
      <w:tr w:rsidR="00657236" w:rsidRPr="00180B8D" w14:paraId="6DA3C33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7E06A9" w14:textId="77777777" w:rsidR="00657236" w:rsidRPr="00180B8D" w:rsidRDefault="00D655E7">
            <w:pPr>
              <w:pStyle w:val="P68B1DB1-Normal2"/>
              <w:spacing w:after="0" w:line="240" w:lineRule="auto"/>
              <w:jc w:val="center"/>
              <w:rPr>
                <w:lang w:val="en-GB"/>
              </w:rPr>
            </w:pPr>
            <w:r w:rsidRPr="00180B8D">
              <w:rPr>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D2376B" w14:textId="77777777" w:rsidR="00657236" w:rsidRPr="00180B8D" w:rsidRDefault="00D655E7">
            <w:pPr>
              <w:pStyle w:val="P68B1DB1-Normal2"/>
              <w:spacing w:after="0" w:line="240" w:lineRule="auto"/>
              <w:rPr>
                <w:lang w:val="en-GB"/>
              </w:rPr>
            </w:pPr>
            <w:r w:rsidRPr="00180B8D">
              <w:rPr>
                <w:lang w:val="en-GB"/>
              </w:rPr>
              <w:t>2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A4DC4A" w14:textId="77777777" w:rsidR="00657236" w:rsidRPr="00180B8D" w:rsidRDefault="00D655E7">
            <w:pPr>
              <w:pStyle w:val="P68B1DB1-Normal2"/>
              <w:spacing w:after="0" w:line="240" w:lineRule="auto"/>
              <w:jc w:val="center"/>
              <w:rPr>
                <w:lang w:val="en-GB"/>
              </w:rPr>
            </w:pPr>
            <w:r w:rsidRPr="00180B8D">
              <w:rPr>
                <w:lang w:val="en-GB"/>
              </w:rPr>
              <w:t>0,93 %</w:t>
            </w:r>
          </w:p>
        </w:tc>
      </w:tr>
      <w:tr w:rsidR="00657236" w:rsidRPr="00180B8D" w14:paraId="6B78BB0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8622DA" w14:textId="77777777" w:rsidR="00657236" w:rsidRPr="00180B8D" w:rsidRDefault="00D655E7">
            <w:pPr>
              <w:pStyle w:val="P68B1DB1-Normal2"/>
              <w:spacing w:after="0" w:line="240" w:lineRule="auto"/>
              <w:jc w:val="center"/>
              <w:rPr>
                <w:lang w:val="en-GB"/>
              </w:rPr>
            </w:pPr>
            <w:r w:rsidRPr="00180B8D">
              <w:rPr>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F3CC74" w14:textId="77777777" w:rsidR="00657236" w:rsidRPr="00180B8D" w:rsidRDefault="00D655E7">
            <w:pPr>
              <w:pStyle w:val="P68B1DB1-Normal2"/>
              <w:spacing w:after="0" w:line="240" w:lineRule="auto"/>
              <w:rPr>
                <w:lang w:val="en-GB"/>
              </w:rPr>
            </w:pPr>
            <w:r w:rsidRPr="00180B8D">
              <w:rPr>
                <w:lang w:val="en-GB"/>
              </w:rPr>
              <w:t>5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F74E04" w14:textId="77777777" w:rsidR="00657236" w:rsidRPr="00180B8D" w:rsidRDefault="00D655E7">
            <w:pPr>
              <w:pStyle w:val="P68B1DB1-Normal2"/>
              <w:spacing w:after="0" w:line="240" w:lineRule="auto"/>
              <w:jc w:val="center"/>
              <w:rPr>
                <w:lang w:val="en-GB"/>
              </w:rPr>
            </w:pPr>
            <w:r w:rsidRPr="00180B8D">
              <w:rPr>
                <w:lang w:val="en-GB"/>
              </w:rPr>
              <w:t>0,74 %</w:t>
            </w:r>
          </w:p>
        </w:tc>
      </w:tr>
      <w:tr w:rsidR="00657236" w:rsidRPr="00180B8D" w14:paraId="626DF9D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CEC7E" w14:textId="77777777" w:rsidR="00657236" w:rsidRPr="00180B8D" w:rsidRDefault="00D655E7">
            <w:pPr>
              <w:pStyle w:val="P68B1DB1-Normal2"/>
              <w:spacing w:after="0" w:line="240" w:lineRule="auto"/>
              <w:jc w:val="center"/>
              <w:rPr>
                <w:lang w:val="en-GB"/>
              </w:rPr>
            </w:pPr>
            <w:r w:rsidRPr="00180B8D">
              <w:rPr>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1F96089" w14:textId="77777777" w:rsidR="00657236" w:rsidRPr="00180B8D" w:rsidRDefault="00D655E7">
            <w:pPr>
              <w:pStyle w:val="P68B1DB1-Normal2"/>
              <w:spacing w:after="0" w:line="240" w:lineRule="auto"/>
              <w:rPr>
                <w:lang w:val="en-GB"/>
              </w:rPr>
            </w:pPr>
            <w:r w:rsidRPr="00180B8D">
              <w:rPr>
                <w:lang w:val="en-GB"/>
              </w:rPr>
              <w:t>10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93B8A" w14:textId="77777777" w:rsidR="00657236" w:rsidRPr="00180B8D" w:rsidRDefault="00D655E7">
            <w:pPr>
              <w:pStyle w:val="P68B1DB1-Normal2"/>
              <w:spacing w:after="0" w:line="240" w:lineRule="auto"/>
              <w:jc w:val="center"/>
              <w:rPr>
                <w:lang w:val="en-GB"/>
              </w:rPr>
            </w:pPr>
            <w:r w:rsidRPr="00180B8D">
              <w:rPr>
                <w:lang w:val="en-GB"/>
              </w:rPr>
              <w:t>0,74 %</w:t>
            </w:r>
          </w:p>
        </w:tc>
      </w:tr>
      <w:tr w:rsidR="00657236" w:rsidRPr="00180B8D" w14:paraId="69F9170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15BB37" w14:textId="77777777" w:rsidR="00657236" w:rsidRPr="00180B8D" w:rsidRDefault="00D655E7">
            <w:pPr>
              <w:pStyle w:val="P68B1DB1-Normal2"/>
              <w:spacing w:after="0" w:line="240" w:lineRule="auto"/>
              <w:jc w:val="center"/>
              <w:rPr>
                <w:lang w:val="en-GB"/>
              </w:rPr>
            </w:pPr>
            <w:r w:rsidRPr="00180B8D">
              <w:rPr>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BC0339" w14:textId="77777777" w:rsidR="00657236" w:rsidRPr="00180B8D" w:rsidRDefault="00D655E7">
            <w:pPr>
              <w:pStyle w:val="P68B1DB1-Normal2"/>
              <w:spacing w:after="0" w:line="240" w:lineRule="auto"/>
              <w:rPr>
                <w:lang w:val="en-GB"/>
              </w:rPr>
            </w:pPr>
            <w:r w:rsidRPr="00180B8D">
              <w:rPr>
                <w:lang w:val="en-GB"/>
              </w:rPr>
              <w:t>30 years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D47E2B" w14:textId="77777777" w:rsidR="00657236" w:rsidRPr="00180B8D" w:rsidRDefault="00D655E7">
            <w:pPr>
              <w:pStyle w:val="P68B1DB1-Normal2"/>
              <w:spacing w:after="0" w:line="240" w:lineRule="auto"/>
              <w:jc w:val="center"/>
              <w:rPr>
                <w:lang w:val="en-GB"/>
              </w:rPr>
            </w:pPr>
            <w:r w:rsidRPr="00180B8D">
              <w:rPr>
                <w:lang w:val="en-GB"/>
              </w:rPr>
              <w:t>0,74 %</w:t>
            </w:r>
          </w:p>
        </w:tc>
      </w:tr>
    </w:tbl>
    <w:p w14:paraId="13F463F9" w14:textId="77777777" w:rsidR="00657236" w:rsidRPr="00180B8D" w:rsidRDefault="00D655E7">
      <w:pPr>
        <w:pStyle w:val="P68B1DB1-Normal2"/>
        <w:spacing w:after="0" w:line="240" w:lineRule="auto"/>
        <w:ind w:firstLine="567"/>
        <w:jc w:val="both"/>
        <w:rPr>
          <w:lang w:val="en-GB"/>
        </w:rPr>
      </w:pPr>
      <w:r w:rsidRPr="00180B8D">
        <w:rPr>
          <w:lang w:val="en-GB"/>
        </w:rPr>
        <w:t> </w:t>
      </w:r>
    </w:p>
    <w:p w14:paraId="21ABFC6F" w14:textId="75DFD725" w:rsidR="00657236" w:rsidRPr="00180B8D" w:rsidRDefault="00D655E7">
      <w:pPr>
        <w:pStyle w:val="P68B1DB1-Normal2"/>
        <w:spacing w:after="0" w:line="240" w:lineRule="auto"/>
        <w:ind w:firstLine="567"/>
        <w:jc w:val="both"/>
        <w:rPr>
          <w:lang w:val="en-GB"/>
        </w:rPr>
      </w:pPr>
      <w:r w:rsidRPr="00180B8D">
        <w:rPr>
          <w:b/>
          <w:lang w:val="en-GB"/>
        </w:rPr>
        <w:t>71.</w:t>
      </w:r>
      <w:r w:rsidRPr="00180B8D">
        <w:rPr>
          <w:lang w:val="en-GB"/>
        </w:rPr>
        <w:t xml:space="preserve"> </w:t>
      </w:r>
      <w:r w:rsidR="008941F1" w:rsidRPr="008941F1">
        <w:t>For currencies other than the currencies referred to in</w:t>
      </w:r>
      <w:r w:rsidR="008941F1">
        <w:t xml:space="preserve"> </w:t>
      </w:r>
      <w:r w:rsidRPr="00180B8D">
        <w:rPr>
          <w:lang w:val="en-GB"/>
        </w:rPr>
        <w:t xml:space="preserve">paragraph 44, </w:t>
      </w:r>
      <w:r w:rsidR="008941F1" w:rsidRPr="008941F1">
        <w:t>the risk weight of risk-free rate delta sensitivities shall be 1,58</w:t>
      </w:r>
      <w:r w:rsidR="00941631">
        <w:t xml:space="preserve"> </w:t>
      </w:r>
      <w:r w:rsidR="008941F1" w:rsidRPr="008941F1">
        <w:t>%</w:t>
      </w:r>
      <w:r w:rsidRPr="00180B8D">
        <w:rPr>
          <w:lang w:val="en-GB"/>
        </w:rPr>
        <w:t>.</w:t>
      </w:r>
      <w:r w:rsidR="008941F1">
        <w:rPr>
          <w:lang w:val="en-GB"/>
        </w:rPr>
        <w:t xml:space="preserve"> </w:t>
      </w:r>
    </w:p>
    <w:p w14:paraId="5DFFF1E8" w14:textId="274DAE70" w:rsidR="00657236" w:rsidRPr="00180B8D" w:rsidRDefault="00D655E7">
      <w:pPr>
        <w:pStyle w:val="P68B1DB1-Normal2"/>
        <w:spacing w:after="0" w:line="240" w:lineRule="auto"/>
        <w:ind w:firstLine="567"/>
        <w:jc w:val="both"/>
        <w:rPr>
          <w:lang w:val="en-GB"/>
        </w:rPr>
      </w:pPr>
      <w:r w:rsidRPr="00180B8D">
        <w:rPr>
          <w:b/>
          <w:lang w:val="en-GB"/>
        </w:rPr>
        <w:t>72.</w:t>
      </w:r>
      <w:r w:rsidRPr="00180B8D">
        <w:rPr>
          <w:lang w:val="en-GB"/>
        </w:rPr>
        <w:t xml:space="preserve"> For inflation rate risk denominated in one of the currencies referred to in paragraph 44, the risk weight of delta sensitivity to</w:t>
      </w:r>
      <w:r w:rsidR="008941F1">
        <w:rPr>
          <w:lang w:val="en-GB"/>
        </w:rPr>
        <w:t xml:space="preserve"> the</w:t>
      </w:r>
      <w:r w:rsidRPr="00180B8D">
        <w:rPr>
          <w:lang w:val="en-GB"/>
        </w:rPr>
        <w:t xml:space="preserve"> inflation rate risk </w:t>
      </w:r>
      <w:r w:rsidR="008941F1">
        <w:rPr>
          <w:lang w:val="en-GB"/>
        </w:rPr>
        <w:t>shall be</w:t>
      </w:r>
      <w:r w:rsidRPr="00180B8D">
        <w:rPr>
          <w:lang w:val="en-GB"/>
        </w:rPr>
        <w:t xml:space="preserve"> 1.11</w:t>
      </w:r>
      <w:r w:rsidR="00941631">
        <w:rPr>
          <w:lang w:val="en-GB"/>
        </w:rPr>
        <w:t xml:space="preserve"> </w:t>
      </w:r>
      <w:r w:rsidRPr="00180B8D">
        <w:rPr>
          <w:lang w:val="en-GB"/>
        </w:rPr>
        <w:t>%.</w:t>
      </w:r>
    </w:p>
    <w:p w14:paraId="3EF04B57" w14:textId="6A29CC3C" w:rsidR="00657236" w:rsidRPr="00180B8D" w:rsidRDefault="00D655E7">
      <w:pPr>
        <w:pStyle w:val="P68B1DB1-Normal2"/>
        <w:spacing w:after="0" w:line="240" w:lineRule="auto"/>
        <w:ind w:firstLine="567"/>
        <w:jc w:val="both"/>
        <w:rPr>
          <w:lang w:val="en-GB"/>
        </w:rPr>
      </w:pPr>
      <w:r w:rsidRPr="00180B8D">
        <w:rPr>
          <w:b/>
          <w:lang w:val="en-GB"/>
        </w:rPr>
        <w:t>73.</w:t>
      </w:r>
      <w:r w:rsidRPr="00180B8D">
        <w:rPr>
          <w:lang w:val="en-GB"/>
        </w:rPr>
        <w:t xml:space="preserve"> For inflation </w:t>
      </w:r>
      <w:r w:rsidR="00941631">
        <w:rPr>
          <w:lang w:val="en-GB"/>
        </w:rPr>
        <w:t xml:space="preserve">rate </w:t>
      </w:r>
      <w:r w:rsidRPr="00180B8D">
        <w:rPr>
          <w:lang w:val="en-GB"/>
        </w:rPr>
        <w:t>risk denominated in a currency other than those referred to in paragraph 44, the risk weight of</w:t>
      </w:r>
      <w:r w:rsidR="00941631">
        <w:rPr>
          <w:lang w:val="en-GB"/>
        </w:rPr>
        <w:t xml:space="preserve"> the</w:t>
      </w:r>
      <w:r w:rsidRPr="00180B8D">
        <w:rPr>
          <w:lang w:val="en-GB"/>
        </w:rPr>
        <w:t xml:space="preserve"> delta sensitivity to</w:t>
      </w:r>
      <w:r w:rsidR="00941631">
        <w:rPr>
          <w:lang w:val="en-GB"/>
        </w:rPr>
        <w:t xml:space="preserve"> the</w:t>
      </w:r>
      <w:r w:rsidRPr="00180B8D">
        <w:rPr>
          <w:lang w:val="en-GB"/>
        </w:rPr>
        <w:t xml:space="preserve"> inflation rate risk shall be 1,58</w:t>
      </w:r>
      <w:r w:rsidR="00941631">
        <w:rPr>
          <w:lang w:val="en-GB"/>
        </w:rPr>
        <w:t xml:space="preserve"> </w:t>
      </w:r>
      <w:r w:rsidRPr="00180B8D">
        <w:rPr>
          <w:lang w:val="en-GB"/>
        </w:rPr>
        <w:t>%.</w:t>
      </w:r>
    </w:p>
    <w:p w14:paraId="23871E53" w14:textId="2AF09B76" w:rsidR="00657236" w:rsidRPr="00180B8D" w:rsidRDefault="00D655E7">
      <w:pPr>
        <w:pStyle w:val="P68B1DB1-Normal2"/>
        <w:spacing w:after="0" w:line="240" w:lineRule="auto"/>
        <w:ind w:firstLine="567"/>
        <w:jc w:val="both"/>
        <w:rPr>
          <w:lang w:val="en-GB"/>
        </w:rPr>
      </w:pPr>
      <w:r w:rsidRPr="00180B8D">
        <w:rPr>
          <w:b/>
          <w:lang w:val="en-GB"/>
        </w:rPr>
        <w:t>74.</w:t>
      </w:r>
      <w:r w:rsidRPr="00180B8D">
        <w:rPr>
          <w:lang w:val="en-GB"/>
        </w:rPr>
        <w:t xml:space="preserve"> The risk weights to be applied to sensitivities to interest rate </w:t>
      </w:r>
      <w:proofErr w:type="spellStart"/>
      <w:r w:rsidR="00AE45A5" w:rsidRPr="00180B8D">
        <w:rPr>
          <w:lang w:val="en-GB"/>
        </w:rPr>
        <w:t>vega</w:t>
      </w:r>
      <w:proofErr w:type="spellEnd"/>
      <w:r w:rsidR="00AE45A5" w:rsidRPr="00180B8D">
        <w:rPr>
          <w:lang w:val="en-GB"/>
        </w:rPr>
        <w:t xml:space="preserve"> </w:t>
      </w:r>
      <w:r w:rsidRPr="00180B8D">
        <w:rPr>
          <w:lang w:val="en-GB"/>
        </w:rPr>
        <w:t xml:space="preserve">risk factors and </w:t>
      </w:r>
      <w:r w:rsidR="00AE45A5">
        <w:rPr>
          <w:lang w:val="en-GB"/>
        </w:rPr>
        <w:t xml:space="preserve">to </w:t>
      </w:r>
      <w:r w:rsidRPr="00180B8D">
        <w:rPr>
          <w:lang w:val="en-GB"/>
        </w:rPr>
        <w:t xml:space="preserve">inflation rate </w:t>
      </w:r>
      <w:proofErr w:type="spellStart"/>
      <w:r w:rsidR="00AE45A5" w:rsidRPr="00180B8D">
        <w:rPr>
          <w:lang w:val="en-GB"/>
        </w:rPr>
        <w:t>vega</w:t>
      </w:r>
      <w:proofErr w:type="spellEnd"/>
      <w:r w:rsidR="00AE45A5" w:rsidRPr="00180B8D">
        <w:rPr>
          <w:lang w:val="en-GB"/>
        </w:rPr>
        <w:t xml:space="preserve"> </w:t>
      </w:r>
      <w:r w:rsidRPr="00180B8D">
        <w:rPr>
          <w:lang w:val="en-GB"/>
        </w:rPr>
        <w:t xml:space="preserve">risk factors for all currencies </w:t>
      </w:r>
      <w:r w:rsidRPr="00180B8D">
        <w:rPr>
          <w:lang w:val="en-GB"/>
        </w:rPr>
        <w:t>shall be 100 %.</w:t>
      </w:r>
    </w:p>
    <w:p w14:paraId="11A32834" w14:textId="77777777" w:rsidR="00657236" w:rsidRPr="00180B8D" w:rsidRDefault="00D655E7">
      <w:pPr>
        <w:pStyle w:val="P68B1DB1-Normal2"/>
        <w:spacing w:after="0" w:line="240" w:lineRule="auto"/>
        <w:jc w:val="center"/>
        <w:rPr>
          <w:lang w:val="en-GB"/>
        </w:rPr>
      </w:pPr>
      <w:r w:rsidRPr="00180B8D">
        <w:rPr>
          <w:lang w:val="en-GB"/>
        </w:rPr>
        <w:t> </w:t>
      </w:r>
    </w:p>
    <w:p w14:paraId="3B4A0265" w14:textId="77777777" w:rsidR="00657236" w:rsidRPr="00180B8D" w:rsidRDefault="00D655E7">
      <w:pPr>
        <w:pStyle w:val="P68B1DB1-Normal3"/>
        <w:spacing w:after="0" w:line="240" w:lineRule="auto"/>
        <w:jc w:val="center"/>
        <w:rPr>
          <w:lang w:val="en-GB"/>
        </w:rPr>
      </w:pPr>
      <w:r w:rsidRPr="00180B8D">
        <w:rPr>
          <w:lang w:val="en-GB"/>
        </w:rPr>
        <w:t>Section 12</w:t>
      </w:r>
    </w:p>
    <w:p w14:paraId="214ABCAD" w14:textId="77777777" w:rsidR="00657236" w:rsidRPr="00180B8D" w:rsidRDefault="00D655E7">
      <w:pPr>
        <w:pStyle w:val="P68B1DB1-Normal3"/>
        <w:spacing w:after="0" w:line="240" w:lineRule="auto"/>
        <w:jc w:val="center"/>
        <w:rPr>
          <w:lang w:val="en-GB"/>
        </w:rPr>
      </w:pPr>
      <w:r w:rsidRPr="00180B8D">
        <w:rPr>
          <w:lang w:val="en-GB"/>
        </w:rPr>
        <w:t>Intra-bucket correlations for interest rate risk</w:t>
      </w:r>
    </w:p>
    <w:p w14:paraId="4B350679" w14:textId="49C0151D" w:rsidR="00657236" w:rsidRPr="00180B8D" w:rsidRDefault="00D655E7">
      <w:pPr>
        <w:pStyle w:val="P68B1DB1-Normal3"/>
        <w:spacing w:after="0" w:line="240" w:lineRule="auto"/>
        <w:jc w:val="center"/>
        <w:rPr>
          <w:lang w:val="en-GB"/>
        </w:rPr>
      </w:pPr>
      <w:r w:rsidRPr="00180B8D">
        <w:rPr>
          <w:lang w:val="en-GB"/>
        </w:rPr>
        <w:t xml:space="preserve">and </w:t>
      </w:r>
      <w:r w:rsidR="00D41853" w:rsidRPr="00180B8D">
        <w:rPr>
          <w:lang w:val="en-GB"/>
        </w:rPr>
        <w:t>correlations</w:t>
      </w:r>
      <w:r w:rsidR="00D41853">
        <w:rPr>
          <w:lang w:val="en-GB"/>
        </w:rPr>
        <w:t xml:space="preserve"> across</w:t>
      </w:r>
      <w:r w:rsidR="00D41853" w:rsidRPr="00180B8D">
        <w:rPr>
          <w:lang w:val="en-GB"/>
        </w:rPr>
        <w:t xml:space="preserve"> </w:t>
      </w:r>
      <w:r w:rsidRPr="00180B8D">
        <w:rPr>
          <w:lang w:val="en-GB"/>
        </w:rPr>
        <w:t>bucket</w:t>
      </w:r>
      <w:r w:rsidR="00D41853">
        <w:rPr>
          <w:lang w:val="en-GB"/>
        </w:rPr>
        <w:t>s</w:t>
      </w:r>
      <w:r w:rsidRPr="00180B8D">
        <w:rPr>
          <w:lang w:val="en-GB"/>
        </w:rPr>
        <w:t xml:space="preserve"> for interest rate risk</w:t>
      </w:r>
    </w:p>
    <w:p w14:paraId="4C4630B0" w14:textId="45028884" w:rsidR="00657236" w:rsidRPr="00180B8D" w:rsidRDefault="00D655E7">
      <w:pPr>
        <w:pStyle w:val="P68B1DB1-Normal2"/>
        <w:spacing w:after="0" w:line="240" w:lineRule="auto"/>
        <w:ind w:firstLine="567"/>
        <w:jc w:val="both"/>
        <w:rPr>
          <w:lang w:val="en-GB"/>
        </w:rPr>
      </w:pPr>
      <w:r w:rsidRPr="00180B8D">
        <w:rPr>
          <w:b/>
          <w:lang w:val="en-GB"/>
        </w:rPr>
        <w:t>75.</w:t>
      </w:r>
      <w:r w:rsidRPr="00180B8D">
        <w:rPr>
          <w:lang w:val="en-GB"/>
        </w:rPr>
        <w:t xml:space="preserve"> For the currencies referred to in paragraph 44, the correlation parameters that banks</w:t>
      </w:r>
      <w:r w:rsidR="00EC214C">
        <w:rPr>
          <w:lang w:val="en-GB"/>
        </w:rPr>
        <w:t xml:space="preserve"> shall</w:t>
      </w:r>
      <w:r w:rsidRPr="00180B8D">
        <w:rPr>
          <w:lang w:val="en-GB"/>
        </w:rPr>
        <w:t xml:space="preserve"> apply to the aggregation of </w:t>
      </w:r>
      <w:r w:rsidR="00EC214C">
        <w:rPr>
          <w:lang w:val="en-GB"/>
        </w:rPr>
        <w:t xml:space="preserve">the </w:t>
      </w:r>
      <w:r w:rsidRPr="00180B8D">
        <w:rPr>
          <w:lang w:val="en-GB"/>
        </w:rPr>
        <w:t xml:space="preserve">risk-free rate delta sensitivities between the different buckets set out in paragraphs 70 to 74, Table 2, </w:t>
      </w:r>
      <w:r w:rsidR="00EC214C">
        <w:rPr>
          <w:lang w:val="en-GB"/>
        </w:rPr>
        <w:t>shall be the</w:t>
      </w:r>
      <w:r w:rsidRPr="00180B8D">
        <w:rPr>
          <w:lang w:val="en-GB"/>
        </w:rPr>
        <w:t xml:space="preserve"> follow</w:t>
      </w:r>
      <w:r w:rsidR="00EC214C">
        <w:rPr>
          <w:lang w:val="en-GB"/>
        </w:rPr>
        <w:t>ing</w:t>
      </w:r>
      <w:r w:rsidRPr="00180B8D">
        <w:rPr>
          <w:lang w:val="en-GB"/>
        </w:rPr>
        <w:t>:</w:t>
      </w:r>
    </w:p>
    <w:p w14:paraId="3BC6BCE2" w14:textId="77777777" w:rsidR="00657236" w:rsidRPr="00180B8D" w:rsidRDefault="00D655E7">
      <w:pPr>
        <w:pStyle w:val="P68B1DB1-Normal4"/>
        <w:spacing w:after="0" w:line="240" w:lineRule="auto"/>
        <w:jc w:val="right"/>
        <w:rPr>
          <w:lang w:val="en-GB"/>
        </w:rPr>
      </w:pPr>
      <w:r w:rsidRPr="00180B8D">
        <w:rPr>
          <w:lang w:val="en-GB"/>
        </w:rPr>
        <w:t>Table 2</w:t>
      </w:r>
    </w:p>
    <w:p w14:paraId="524907FC" w14:textId="77777777" w:rsidR="00657236" w:rsidRPr="00180B8D" w:rsidRDefault="00D655E7">
      <w:pPr>
        <w:pStyle w:val="P68B1DB1-Normal2"/>
        <w:spacing w:after="0" w:line="240" w:lineRule="auto"/>
        <w:jc w:val="right"/>
        <w:rPr>
          <w:lang w:val="en-GB"/>
        </w:rPr>
      </w:pPr>
      <w:r w:rsidRPr="00180B8D">
        <w:rPr>
          <w:lang w:val="en-GB"/>
        </w:rPr>
        <w:t> </w:t>
      </w:r>
    </w:p>
    <w:tbl>
      <w:tblPr>
        <w:tblW w:w="3500" w:type="pct"/>
        <w:jc w:val="center"/>
        <w:tblCellMar>
          <w:top w:w="15" w:type="dxa"/>
          <w:left w:w="15" w:type="dxa"/>
          <w:bottom w:w="15" w:type="dxa"/>
          <w:right w:w="15" w:type="dxa"/>
        </w:tblCellMar>
        <w:tblLook w:val="04A0" w:firstRow="1" w:lastRow="0" w:firstColumn="1" w:lastColumn="0" w:noHBand="0" w:noVBand="1"/>
      </w:tblPr>
      <w:tblGrid>
        <w:gridCol w:w="1212"/>
        <w:gridCol w:w="1065"/>
        <w:gridCol w:w="1065"/>
        <w:gridCol w:w="1065"/>
        <w:gridCol w:w="1065"/>
        <w:gridCol w:w="1065"/>
      </w:tblGrid>
      <w:tr w:rsidR="00657236" w:rsidRPr="00180B8D" w14:paraId="08F35907"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6C43F3D" w14:textId="2731A494" w:rsidR="00657236" w:rsidRPr="00180B8D" w:rsidRDefault="00EC214C">
            <w:pPr>
              <w:pStyle w:val="P68B1DB1-Normal1"/>
              <w:spacing w:after="0" w:line="240" w:lineRule="auto"/>
              <w:jc w:val="center"/>
              <w:rPr>
                <w:bCs/>
                <w:lang w:val="en-GB"/>
              </w:rPr>
            </w:pPr>
            <w:r w:rsidRPr="00EC214C">
              <w:rPr>
                <w:lang w:val="en-GB"/>
              </w:rPr>
              <w:t>Bucket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BAE831" w14:textId="77777777" w:rsidR="00657236" w:rsidRPr="00180B8D" w:rsidRDefault="00D655E7">
            <w:pPr>
              <w:pStyle w:val="P68B1DB1-Normal1"/>
              <w:spacing w:after="0" w:line="240" w:lineRule="auto"/>
              <w:jc w:val="center"/>
              <w:rPr>
                <w:bCs/>
                <w:lang w:val="en-GB"/>
              </w:rPr>
            </w:pPr>
            <w:r w:rsidRPr="00180B8D">
              <w:rPr>
                <w:lang w:val="en-GB"/>
              </w:rPr>
              <w:t>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A6A8242" w14:textId="77777777" w:rsidR="00657236" w:rsidRPr="00180B8D" w:rsidRDefault="00D655E7">
            <w:pPr>
              <w:pStyle w:val="P68B1DB1-Normal1"/>
              <w:spacing w:after="0" w:line="240" w:lineRule="auto"/>
              <w:jc w:val="center"/>
              <w:rPr>
                <w:bCs/>
                <w:lang w:val="en-GB"/>
              </w:rPr>
            </w:pPr>
            <w:r w:rsidRPr="00180B8D">
              <w:rPr>
                <w:lang w:val="en-GB"/>
              </w:rPr>
              <w:t>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313EB61" w14:textId="77777777" w:rsidR="00657236" w:rsidRPr="00180B8D" w:rsidRDefault="00D655E7">
            <w:pPr>
              <w:pStyle w:val="P68B1DB1-Normal1"/>
              <w:spacing w:after="0" w:line="240" w:lineRule="auto"/>
              <w:jc w:val="center"/>
              <w:rPr>
                <w:bCs/>
                <w:lang w:val="en-GB"/>
              </w:rPr>
            </w:pPr>
            <w:r w:rsidRPr="00180B8D">
              <w:rPr>
                <w:lang w:val="en-GB"/>
              </w:rPr>
              <w:t>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39B411" w14:textId="77777777" w:rsidR="00657236" w:rsidRPr="00180B8D" w:rsidRDefault="00D655E7">
            <w:pPr>
              <w:pStyle w:val="P68B1DB1-Normal1"/>
              <w:spacing w:after="0" w:line="240" w:lineRule="auto"/>
              <w:jc w:val="center"/>
              <w:rPr>
                <w:bCs/>
                <w:lang w:val="en-GB"/>
              </w:rPr>
            </w:pPr>
            <w:r w:rsidRPr="00180B8D">
              <w:rPr>
                <w:lang w:val="en-GB"/>
              </w:rPr>
              <w:t>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BDC320" w14:textId="77777777" w:rsidR="00657236" w:rsidRPr="00180B8D" w:rsidRDefault="00D655E7">
            <w:pPr>
              <w:pStyle w:val="P68B1DB1-Normal1"/>
              <w:spacing w:after="0" w:line="240" w:lineRule="auto"/>
              <w:jc w:val="center"/>
              <w:rPr>
                <w:bCs/>
                <w:lang w:val="en-GB"/>
              </w:rPr>
            </w:pPr>
            <w:r w:rsidRPr="00180B8D">
              <w:rPr>
                <w:lang w:val="en-GB"/>
              </w:rPr>
              <w:t>5</w:t>
            </w:r>
          </w:p>
        </w:tc>
      </w:tr>
      <w:tr w:rsidR="00657236" w:rsidRPr="00180B8D" w14:paraId="53DB9B8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AB1012" w14:textId="77777777" w:rsidR="00657236" w:rsidRPr="00180B8D" w:rsidRDefault="00D655E7">
            <w:pPr>
              <w:pStyle w:val="P68B1DB1-Normal2"/>
              <w:spacing w:after="0" w:line="240" w:lineRule="auto"/>
              <w:jc w:val="center"/>
              <w:rPr>
                <w:lang w:val="en-GB"/>
              </w:rPr>
            </w:pPr>
            <w:r w:rsidRPr="00180B8D">
              <w:rPr>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947B07"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407204" w14:textId="77777777" w:rsidR="00657236" w:rsidRPr="00180B8D" w:rsidRDefault="00D655E7">
            <w:pPr>
              <w:pStyle w:val="P68B1DB1-Normal2"/>
              <w:spacing w:after="0" w:line="240" w:lineRule="auto"/>
              <w:jc w:val="center"/>
              <w:rPr>
                <w:lang w:val="en-GB"/>
              </w:rPr>
            </w:pPr>
            <w:r w:rsidRPr="00180B8D">
              <w:rPr>
                <w:lang w:val="en-GB"/>
              </w:rPr>
              <w:t>91 %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62DF51" w14:textId="77777777" w:rsidR="00657236" w:rsidRPr="00180B8D" w:rsidRDefault="00D655E7">
            <w:pPr>
              <w:pStyle w:val="P68B1DB1-Normal2"/>
              <w:spacing w:after="0" w:line="240" w:lineRule="auto"/>
              <w:jc w:val="center"/>
              <w:rPr>
                <w:lang w:val="en-GB"/>
              </w:rPr>
            </w:pPr>
            <w:r w:rsidRPr="00180B8D">
              <w:rPr>
                <w:lang w:val="en-GB"/>
              </w:rPr>
              <w:t>72 %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1DF46E" w14:textId="77777777" w:rsidR="00657236" w:rsidRPr="00180B8D" w:rsidRDefault="00D655E7">
            <w:pPr>
              <w:pStyle w:val="P68B1DB1-Normal2"/>
              <w:spacing w:after="0" w:line="240" w:lineRule="auto"/>
              <w:jc w:val="center"/>
              <w:rPr>
                <w:lang w:val="en-GB"/>
              </w:rPr>
            </w:pPr>
            <w:r w:rsidRPr="00180B8D">
              <w:rPr>
                <w:lang w:val="en-GB"/>
              </w:rPr>
              <w:t>55 %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36D6CE" w14:textId="77777777" w:rsidR="00657236" w:rsidRPr="00180B8D" w:rsidRDefault="00D655E7">
            <w:pPr>
              <w:pStyle w:val="P68B1DB1-Normal2"/>
              <w:spacing w:after="0" w:line="240" w:lineRule="auto"/>
              <w:jc w:val="center"/>
              <w:rPr>
                <w:lang w:val="en-GB"/>
              </w:rPr>
            </w:pPr>
            <w:r w:rsidRPr="00180B8D">
              <w:rPr>
                <w:lang w:val="en-GB"/>
              </w:rPr>
              <w:t>31 %</w:t>
            </w:r>
          </w:p>
        </w:tc>
      </w:tr>
      <w:tr w:rsidR="00657236" w:rsidRPr="00180B8D" w14:paraId="244DCE7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AE882" w14:textId="77777777" w:rsidR="00657236" w:rsidRPr="00180B8D" w:rsidRDefault="00D655E7">
            <w:pPr>
              <w:pStyle w:val="P68B1DB1-Normal2"/>
              <w:spacing w:after="0" w:line="240" w:lineRule="auto"/>
              <w:jc w:val="center"/>
              <w:rPr>
                <w:lang w:val="en-GB"/>
              </w:rPr>
            </w:pPr>
            <w:r w:rsidRPr="00180B8D">
              <w:rPr>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E681DF"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10F5CA"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B245EA" w14:textId="77777777" w:rsidR="00657236" w:rsidRPr="00180B8D" w:rsidRDefault="00D655E7">
            <w:pPr>
              <w:pStyle w:val="P68B1DB1-Normal2"/>
              <w:spacing w:after="0" w:line="240" w:lineRule="auto"/>
              <w:jc w:val="center"/>
              <w:rPr>
                <w:lang w:val="en-GB"/>
              </w:rPr>
            </w:pPr>
            <w:r w:rsidRPr="00180B8D">
              <w:rPr>
                <w:lang w:val="en-GB"/>
              </w:rPr>
              <w:t>87 %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30DB7A" w14:textId="77777777" w:rsidR="00657236" w:rsidRPr="00180B8D" w:rsidRDefault="00D655E7">
            <w:pPr>
              <w:pStyle w:val="P68B1DB1-Normal2"/>
              <w:spacing w:after="0" w:line="240" w:lineRule="auto"/>
              <w:jc w:val="center"/>
              <w:rPr>
                <w:lang w:val="en-GB"/>
              </w:rPr>
            </w:pPr>
            <w:r w:rsidRPr="00180B8D">
              <w:rPr>
                <w:lang w:val="en-GB"/>
              </w:rPr>
              <w:t>72 %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60BD60"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23BC184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7573E" w14:textId="77777777" w:rsidR="00657236" w:rsidRPr="00180B8D" w:rsidRDefault="00D655E7">
            <w:pPr>
              <w:pStyle w:val="P68B1DB1-Normal2"/>
              <w:spacing w:after="0" w:line="240" w:lineRule="auto"/>
              <w:jc w:val="center"/>
              <w:rPr>
                <w:lang w:val="en-GB"/>
              </w:rPr>
            </w:pPr>
            <w:r w:rsidRPr="00180B8D">
              <w:rPr>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DACA74"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959151"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4ADB6"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B8FE6E" w14:textId="77777777" w:rsidR="00657236" w:rsidRPr="00180B8D" w:rsidRDefault="00D655E7">
            <w:pPr>
              <w:pStyle w:val="P68B1DB1-Normal2"/>
              <w:spacing w:after="0" w:line="240" w:lineRule="auto"/>
              <w:jc w:val="center"/>
              <w:rPr>
                <w:lang w:val="en-GB"/>
              </w:rPr>
            </w:pPr>
            <w:r w:rsidRPr="00180B8D">
              <w:rPr>
                <w:lang w:val="en-GB"/>
              </w:rPr>
              <w:t>91 %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05773D" w14:textId="77777777" w:rsidR="00657236" w:rsidRPr="00180B8D" w:rsidRDefault="00D655E7">
            <w:pPr>
              <w:pStyle w:val="P68B1DB1-Normal2"/>
              <w:spacing w:after="0" w:line="240" w:lineRule="auto"/>
              <w:jc w:val="center"/>
              <w:rPr>
                <w:lang w:val="en-GB"/>
              </w:rPr>
            </w:pPr>
            <w:r w:rsidRPr="00180B8D">
              <w:rPr>
                <w:lang w:val="en-GB"/>
              </w:rPr>
              <w:t>68 %</w:t>
            </w:r>
          </w:p>
        </w:tc>
      </w:tr>
      <w:tr w:rsidR="00657236" w:rsidRPr="00180B8D" w14:paraId="1F00432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FB5F31" w14:textId="77777777" w:rsidR="00657236" w:rsidRPr="00180B8D" w:rsidRDefault="00D655E7">
            <w:pPr>
              <w:pStyle w:val="P68B1DB1-Normal2"/>
              <w:spacing w:after="0" w:line="240" w:lineRule="auto"/>
              <w:jc w:val="center"/>
              <w:rPr>
                <w:lang w:val="en-GB"/>
              </w:rPr>
            </w:pPr>
            <w:r w:rsidRPr="00180B8D">
              <w:rPr>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37F8BA8"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1D6FFE"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E4A73"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5AFC43"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8C720D" w14:textId="77777777" w:rsidR="00657236" w:rsidRPr="00180B8D" w:rsidRDefault="00D655E7">
            <w:pPr>
              <w:pStyle w:val="P68B1DB1-Normal2"/>
              <w:spacing w:after="0" w:line="240" w:lineRule="auto"/>
              <w:jc w:val="center"/>
              <w:rPr>
                <w:lang w:val="en-GB"/>
              </w:rPr>
            </w:pPr>
            <w:r w:rsidRPr="00180B8D">
              <w:rPr>
                <w:lang w:val="en-GB"/>
              </w:rPr>
              <w:t>83 %</w:t>
            </w:r>
          </w:p>
        </w:tc>
      </w:tr>
      <w:tr w:rsidR="00657236" w:rsidRPr="00180B8D" w14:paraId="7E5DDC0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1CEE41" w14:textId="77777777" w:rsidR="00657236" w:rsidRPr="00180B8D" w:rsidRDefault="00D655E7">
            <w:pPr>
              <w:pStyle w:val="P68B1DB1-Normal2"/>
              <w:spacing w:after="0" w:line="240" w:lineRule="auto"/>
              <w:jc w:val="center"/>
              <w:rPr>
                <w:lang w:val="en-GB"/>
              </w:rPr>
            </w:pPr>
            <w:r w:rsidRPr="00180B8D">
              <w:rPr>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ED3192"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36E79"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022040"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9C20AC"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9E5634" w14:textId="77777777" w:rsidR="00657236" w:rsidRPr="00180B8D" w:rsidRDefault="00D655E7">
            <w:pPr>
              <w:pStyle w:val="P68B1DB1-Normal2"/>
              <w:spacing w:after="0" w:line="240" w:lineRule="auto"/>
              <w:jc w:val="center"/>
              <w:rPr>
                <w:lang w:val="en-GB"/>
              </w:rPr>
            </w:pPr>
            <w:r w:rsidRPr="00180B8D">
              <w:rPr>
                <w:lang w:val="en-GB"/>
              </w:rPr>
              <w:t>100 %</w:t>
            </w:r>
          </w:p>
        </w:tc>
      </w:tr>
    </w:tbl>
    <w:p w14:paraId="71D01D1D" w14:textId="77777777" w:rsidR="00657236" w:rsidRPr="00180B8D" w:rsidRDefault="00D655E7">
      <w:pPr>
        <w:pStyle w:val="P68B1DB1-Normal2"/>
        <w:spacing w:after="0" w:line="240" w:lineRule="auto"/>
        <w:ind w:firstLine="567"/>
        <w:jc w:val="both"/>
        <w:rPr>
          <w:lang w:val="en-GB"/>
        </w:rPr>
      </w:pPr>
      <w:r w:rsidRPr="00180B8D">
        <w:rPr>
          <w:lang w:val="en-GB"/>
        </w:rPr>
        <w:t> </w:t>
      </w:r>
    </w:p>
    <w:p w14:paraId="57F9D081" w14:textId="27E436B6" w:rsidR="00657236" w:rsidRPr="00180B8D" w:rsidRDefault="00D655E7">
      <w:pPr>
        <w:pStyle w:val="P68B1DB1-Normal2"/>
        <w:spacing w:after="0" w:line="240" w:lineRule="auto"/>
        <w:ind w:firstLine="567"/>
        <w:jc w:val="both"/>
        <w:rPr>
          <w:lang w:val="en-GB"/>
        </w:rPr>
      </w:pPr>
      <w:r w:rsidRPr="00180B8D">
        <w:rPr>
          <w:b/>
          <w:lang w:val="en-GB"/>
        </w:rPr>
        <w:t>76.</w:t>
      </w:r>
      <w:r w:rsidRPr="00180B8D">
        <w:rPr>
          <w:lang w:val="en-GB"/>
        </w:rPr>
        <w:t xml:space="preserve"> Banks </w:t>
      </w:r>
      <w:r w:rsidR="00EC214C" w:rsidRPr="00EC214C">
        <w:t>shall apply a correlation parameter of 40 % for the aggregation of inflation rate delta risk sensitivity and risk-free rate delta sensitivity denominated in the same currency</w:t>
      </w:r>
      <w:r w:rsidRPr="00180B8D">
        <w:rPr>
          <w:lang w:val="en-GB"/>
        </w:rPr>
        <w:t>.</w:t>
      </w:r>
    </w:p>
    <w:p w14:paraId="25C0BF27" w14:textId="2E8B80A3" w:rsidR="00657236" w:rsidRPr="00180B8D" w:rsidRDefault="00D655E7">
      <w:pPr>
        <w:pStyle w:val="P68B1DB1-Normal2"/>
        <w:spacing w:after="0" w:line="240" w:lineRule="auto"/>
        <w:ind w:firstLine="567"/>
        <w:jc w:val="both"/>
        <w:rPr>
          <w:lang w:val="en-GB"/>
        </w:rPr>
      </w:pPr>
      <w:r w:rsidRPr="00180B8D">
        <w:rPr>
          <w:b/>
          <w:lang w:val="en-GB"/>
        </w:rPr>
        <w:t>77.</w:t>
      </w:r>
      <w:r w:rsidRPr="00180B8D">
        <w:rPr>
          <w:lang w:val="en-GB"/>
        </w:rPr>
        <w:t xml:space="preserve"> Banks </w:t>
      </w:r>
      <w:r w:rsidR="00EC214C" w:rsidRPr="00EC214C">
        <w:t xml:space="preserve">shall apply a correlation parameter of 40 % for the aggregation of inflation rate </w:t>
      </w:r>
      <w:proofErr w:type="spellStart"/>
      <w:r w:rsidR="00EC214C" w:rsidRPr="00EC214C">
        <w:t>vega</w:t>
      </w:r>
      <w:proofErr w:type="spellEnd"/>
      <w:r w:rsidR="00EC214C" w:rsidRPr="00EC214C">
        <w:t xml:space="preserve"> risk factor sensitivity and interest rate </w:t>
      </w:r>
      <w:proofErr w:type="spellStart"/>
      <w:r w:rsidR="00EC214C" w:rsidRPr="00EC214C">
        <w:t>vega</w:t>
      </w:r>
      <w:proofErr w:type="spellEnd"/>
      <w:r w:rsidR="00EC214C" w:rsidRPr="00EC214C">
        <w:t xml:space="preserve"> risk factor sensitivity denominated in the same currency</w:t>
      </w:r>
      <w:r w:rsidRPr="00180B8D">
        <w:rPr>
          <w:lang w:val="en-GB"/>
        </w:rPr>
        <w:t>.</w:t>
      </w:r>
    </w:p>
    <w:p w14:paraId="6E721049" w14:textId="6913EB1C" w:rsidR="00657236" w:rsidRPr="00180B8D" w:rsidRDefault="00D655E7">
      <w:pPr>
        <w:pStyle w:val="P68B1DB1-Normal2"/>
        <w:spacing w:after="0" w:line="240" w:lineRule="auto"/>
        <w:ind w:firstLine="567"/>
        <w:jc w:val="both"/>
        <w:rPr>
          <w:lang w:val="en-GB"/>
        </w:rPr>
      </w:pPr>
      <w:r w:rsidRPr="00180B8D">
        <w:rPr>
          <w:b/>
          <w:lang w:val="en-GB"/>
        </w:rPr>
        <w:t>78.</w:t>
      </w:r>
      <w:r w:rsidRPr="00180B8D">
        <w:rPr>
          <w:lang w:val="en-GB"/>
        </w:rPr>
        <w:t xml:space="preserve"> </w:t>
      </w:r>
      <w:r w:rsidR="00EC214C" w:rsidRPr="00EC214C">
        <w:t xml:space="preserve">The cross-bucket correlation parameter for interest rate delta and </w:t>
      </w:r>
      <w:proofErr w:type="spellStart"/>
      <w:r w:rsidR="00EC214C" w:rsidRPr="00EC214C">
        <w:t>vega</w:t>
      </w:r>
      <w:proofErr w:type="spellEnd"/>
      <w:r w:rsidR="00EC214C" w:rsidRPr="00EC214C">
        <w:t xml:space="preserve"> risks shall be set at 0,5</w:t>
      </w:r>
      <w:r w:rsidR="00EC214C">
        <w:t xml:space="preserve"> %</w:t>
      </w:r>
      <w:r w:rsidR="00EC214C" w:rsidRPr="00EC214C">
        <w:t xml:space="preserve"> for all currency pairs</w:t>
      </w:r>
      <w:r w:rsidRPr="00180B8D">
        <w:rPr>
          <w:lang w:val="en-GB"/>
        </w:rPr>
        <w:t>.</w:t>
      </w:r>
    </w:p>
    <w:p w14:paraId="28E7A78C" w14:textId="77777777" w:rsidR="00657236" w:rsidRPr="00180B8D" w:rsidRDefault="00D655E7">
      <w:pPr>
        <w:pStyle w:val="P68B1DB1-Normal3"/>
        <w:spacing w:after="0" w:line="240" w:lineRule="auto"/>
        <w:jc w:val="center"/>
        <w:rPr>
          <w:lang w:val="en-GB"/>
        </w:rPr>
      </w:pPr>
      <w:r w:rsidRPr="00180B8D">
        <w:rPr>
          <w:lang w:val="en-GB"/>
        </w:rPr>
        <w:t>Section 13</w:t>
      </w:r>
    </w:p>
    <w:p w14:paraId="5A137668" w14:textId="77777777" w:rsidR="00657236" w:rsidRPr="00180B8D" w:rsidRDefault="00D655E7">
      <w:pPr>
        <w:pStyle w:val="P68B1DB1-Normal3"/>
        <w:spacing w:after="0" w:line="240" w:lineRule="auto"/>
        <w:jc w:val="center"/>
        <w:rPr>
          <w:lang w:val="en-GB"/>
        </w:rPr>
      </w:pPr>
      <w:r w:rsidRPr="00180B8D">
        <w:rPr>
          <w:lang w:val="en-GB"/>
        </w:rPr>
        <w:t>Risk weights for foreign exchange risk</w:t>
      </w:r>
    </w:p>
    <w:p w14:paraId="37B257BD" w14:textId="7AC46FDE" w:rsidR="00657236" w:rsidRPr="00180B8D" w:rsidRDefault="00D655E7">
      <w:pPr>
        <w:pStyle w:val="P68B1DB1-Normal2"/>
        <w:spacing w:after="0" w:line="240" w:lineRule="auto"/>
        <w:ind w:firstLine="567"/>
        <w:jc w:val="both"/>
        <w:rPr>
          <w:lang w:val="en-GB"/>
        </w:rPr>
      </w:pPr>
      <w:r w:rsidRPr="00180B8D">
        <w:rPr>
          <w:b/>
          <w:lang w:val="en-GB"/>
        </w:rPr>
        <w:t>79.</w:t>
      </w:r>
      <w:r w:rsidRPr="00180B8D">
        <w:rPr>
          <w:lang w:val="en-GB"/>
        </w:rPr>
        <w:t xml:space="preserve"> </w:t>
      </w:r>
      <w:r w:rsidR="002705A1" w:rsidRPr="002705A1">
        <w:t xml:space="preserve">The risk weights for all delta sensitivities to foreign exchange risk factor between </w:t>
      </w:r>
      <w:r w:rsidRPr="00180B8D">
        <w:rPr>
          <w:lang w:val="en-GB"/>
        </w:rPr>
        <w:t xml:space="preserve">a bank’s </w:t>
      </w:r>
      <w:r w:rsidR="002705A1" w:rsidRPr="002705A1">
        <w:t>reporting currency and another currency shall be 11 %</w:t>
      </w:r>
      <w:r w:rsidRPr="00180B8D">
        <w:rPr>
          <w:lang w:val="en-GB"/>
        </w:rPr>
        <w:t>.</w:t>
      </w:r>
    </w:p>
    <w:p w14:paraId="4FDCACF9" w14:textId="7279040A" w:rsidR="00657236" w:rsidRPr="00180B8D" w:rsidRDefault="00D655E7">
      <w:pPr>
        <w:pStyle w:val="P68B1DB1-Normal2"/>
        <w:spacing w:after="0" w:line="240" w:lineRule="auto"/>
        <w:ind w:firstLine="567"/>
        <w:jc w:val="both"/>
        <w:rPr>
          <w:lang w:val="en-GB"/>
        </w:rPr>
      </w:pPr>
      <w:r w:rsidRPr="00180B8D">
        <w:rPr>
          <w:b/>
          <w:lang w:val="en-GB"/>
        </w:rPr>
        <w:t>80.</w:t>
      </w:r>
      <w:r w:rsidRPr="00180B8D">
        <w:rPr>
          <w:lang w:val="en-GB"/>
        </w:rPr>
        <w:t xml:space="preserve"> </w:t>
      </w:r>
      <w:r w:rsidR="002705A1" w:rsidRPr="002705A1">
        <w:t>The risk weight of the foreign exchange risk factors concerning currency pairs which are composed of the euro and the currency of a Member State participating in ERM II shall be one of the following</w:t>
      </w:r>
      <w:r w:rsidRPr="00180B8D">
        <w:rPr>
          <w:lang w:val="en-GB"/>
        </w:rPr>
        <w:t>:</w:t>
      </w:r>
    </w:p>
    <w:p w14:paraId="5FE4B8F4" w14:textId="4CF3311F" w:rsidR="00657236" w:rsidRPr="00180B8D" w:rsidRDefault="00D655E7">
      <w:pPr>
        <w:pStyle w:val="P68B1DB1-Normal2"/>
        <w:spacing w:after="0" w:line="240" w:lineRule="auto"/>
        <w:ind w:firstLine="567"/>
        <w:jc w:val="both"/>
        <w:rPr>
          <w:lang w:val="en-GB"/>
        </w:rPr>
      </w:pPr>
      <w:r w:rsidRPr="00180B8D">
        <w:rPr>
          <w:lang w:val="en-GB"/>
        </w:rPr>
        <w:lastRenderedPageBreak/>
        <w:t>80.1. the risk weight referred to in paragraph 79</w:t>
      </w:r>
      <w:r w:rsidR="002705A1">
        <w:rPr>
          <w:lang w:val="en-GB"/>
        </w:rPr>
        <w:t>,</w:t>
      </w:r>
      <w:r w:rsidRPr="00180B8D">
        <w:rPr>
          <w:lang w:val="en-GB"/>
        </w:rPr>
        <w:t xml:space="preserve"> divided by </w:t>
      </w:r>
      <w:proofErr w:type="gramStart"/>
      <w:r w:rsidRPr="00180B8D">
        <w:rPr>
          <w:lang w:val="en-GB"/>
        </w:rPr>
        <w:t>3;</w:t>
      </w:r>
      <w:proofErr w:type="gramEnd"/>
    </w:p>
    <w:p w14:paraId="64984314" w14:textId="28B04429" w:rsidR="00657236" w:rsidRPr="00180B8D" w:rsidRDefault="00D655E7">
      <w:pPr>
        <w:pStyle w:val="P68B1DB1-Normal2"/>
        <w:spacing w:after="0" w:line="240" w:lineRule="auto"/>
        <w:ind w:firstLine="567"/>
        <w:jc w:val="both"/>
        <w:rPr>
          <w:lang w:val="en-GB"/>
        </w:rPr>
      </w:pPr>
      <w:r w:rsidRPr="00180B8D">
        <w:rPr>
          <w:lang w:val="en-GB"/>
        </w:rPr>
        <w:t xml:space="preserve">80.2. the </w:t>
      </w:r>
      <w:r w:rsidRPr="00180B8D">
        <w:rPr>
          <w:lang w:val="en-GB"/>
        </w:rPr>
        <w:t>maximum permissible fluctuation within the official range agreed between the National Bank of Moldova and the central bank of the partner country, if this range is narrower than the standard range of 15</w:t>
      </w:r>
      <w:r w:rsidR="002705A1">
        <w:rPr>
          <w:lang w:val="en-GB"/>
        </w:rPr>
        <w:t xml:space="preserve"> </w:t>
      </w:r>
      <w:r w:rsidRPr="00180B8D">
        <w:rPr>
          <w:lang w:val="en-GB"/>
        </w:rPr>
        <w:t>%.</w:t>
      </w:r>
    </w:p>
    <w:p w14:paraId="40523952" w14:textId="2DCCE649" w:rsidR="00657236" w:rsidRPr="00180B8D" w:rsidRDefault="00D655E7">
      <w:pPr>
        <w:pStyle w:val="P68B1DB1-Normal2"/>
        <w:spacing w:after="0" w:line="240" w:lineRule="auto"/>
        <w:ind w:firstLine="567"/>
        <w:jc w:val="both"/>
        <w:rPr>
          <w:lang w:val="en-GB"/>
        </w:rPr>
      </w:pPr>
      <w:r w:rsidRPr="00180B8D">
        <w:rPr>
          <w:b/>
          <w:lang w:val="en-GB"/>
        </w:rPr>
        <w:t>81.</w:t>
      </w:r>
      <w:r w:rsidRPr="00180B8D">
        <w:rPr>
          <w:lang w:val="en-GB"/>
        </w:rPr>
        <w:t xml:space="preserve"> By way of derogation from paragraph 80, the risk weight for foreign exchange risk factors in respect of currencies referred to in that paragraph that participate in ERM II with a formally agreed fluctuation band narrower than the standard range of plus or minus 15 % shall be equal to the maximum percentage fluctuation within that narrower </w:t>
      </w:r>
      <w:r w:rsidR="002705A1">
        <w:rPr>
          <w:lang w:val="en-GB"/>
        </w:rPr>
        <w:t>band</w:t>
      </w:r>
      <w:r w:rsidRPr="00180B8D">
        <w:rPr>
          <w:lang w:val="en-GB"/>
        </w:rPr>
        <w:t>.</w:t>
      </w:r>
    </w:p>
    <w:p w14:paraId="2D6DDD93" w14:textId="0D33A0D4" w:rsidR="00657236" w:rsidRPr="00180B8D" w:rsidRDefault="00D655E7">
      <w:pPr>
        <w:pStyle w:val="P68B1DB1-Normal2"/>
        <w:spacing w:after="0" w:line="240" w:lineRule="auto"/>
        <w:ind w:firstLine="567"/>
        <w:jc w:val="both"/>
        <w:rPr>
          <w:lang w:val="en-GB"/>
        </w:rPr>
      </w:pPr>
      <w:r w:rsidRPr="00180B8D">
        <w:rPr>
          <w:b/>
          <w:lang w:val="en-GB"/>
        </w:rPr>
        <w:t>82.</w:t>
      </w:r>
      <w:r w:rsidRPr="00180B8D">
        <w:rPr>
          <w:lang w:val="en-GB"/>
        </w:rPr>
        <w:t xml:space="preserve"> The risk weights for all </w:t>
      </w:r>
      <w:proofErr w:type="spellStart"/>
      <w:r w:rsidRPr="00180B8D">
        <w:rPr>
          <w:lang w:val="en-GB"/>
        </w:rPr>
        <w:t>vega</w:t>
      </w:r>
      <w:proofErr w:type="spellEnd"/>
      <w:r w:rsidRPr="00180B8D">
        <w:rPr>
          <w:lang w:val="en-GB"/>
        </w:rPr>
        <w:t xml:space="preserve"> sensitivities to foreign exchange risk factor shall be 100 %.</w:t>
      </w:r>
    </w:p>
    <w:p w14:paraId="6ADA219F" w14:textId="77777777" w:rsidR="00657236" w:rsidRPr="00180B8D" w:rsidRDefault="00D655E7">
      <w:pPr>
        <w:pStyle w:val="P68B1DB1-Normal3"/>
        <w:spacing w:after="0" w:line="240" w:lineRule="auto"/>
        <w:jc w:val="center"/>
        <w:rPr>
          <w:lang w:val="en-GB"/>
        </w:rPr>
      </w:pPr>
      <w:r w:rsidRPr="00180B8D">
        <w:rPr>
          <w:lang w:val="en-GB"/>
        </w:rPr>
        <w:t>Section 14</w:t>
      </w:r>
    </w:p>
    <w:p w14:paraId="4D48CD11" w14:textId="77777777" w:rsidR="00657236" w:rsidRPr="00180B8D" w:rsidRDefault="00D655E7">
      <w:pPr>
        <w:pStyle w:val="P68B1DB1-Normal3"/>
        <w:spacing w:after="0" w:line="240" w:lineRule="auto"/>
        <w:jc w:val="center"/>
        <w:rPr>
          <w:lang w:val="en-GB"/>
        </w:rPr>
      </w:pPr>
      <w:r w:rsidRPr="00180B8D">
        <w:rPr>
          <w:lang w:val="en-GB"/>
        </w:rPr>
        <w:t>Correlations for foreign exchange risk</w:t>
      </w:r>
    </w:p>
    <w:p w14:paraId="7CEFEC33" w14:textId="079348CB" w:rsidR="00657236" w:rsidRPr="00180B8D" w:rsidRDefault="00D655E7">
      <w:pPr>
        <w:pStyle w:val="P68B1DB1-Normal2"/>
        <w:spacing w:after="0" w:line="240" w:lineRule="auto"/>
        <w:ind w:firstLine="567"/>
        <w:jc w:val="both"/>
        <w:rPr>
          <w:lang w:val="en-GB"/>
        </w:rPr>
      </w:pPr>
      <w:r w:rsidRPr="00180B8D">
        <w:rPr>
          <w:b/>
          <w:lang w:val="en-GB"/>
        </w:rPr>
        <w:t>83.</w:t>
      </w:r>
      <w:r w:rsidRPr="00180B8D">
        <w:rPr>
          <w:lang w:val="en-GB"/>
        </w:rPr>
        <w:t xml:space="preserve"> A uniform correlation parameter of 60 % shall apply to the aggregation of sensitivities to </w:t>
      </w:r>
      <w:r w:rsidR="002705A1" w:rsidRPr="00180B8D">
        <w:rPr>
          <w:lang w:val="en-GB"/>
        </w:rPr>
        <w:t xml:space="preserve">delta </w:t>
      </w:r>
      <w:r w:rsidRPr="00180B8D">
        <w:rPr>
          <w:lang w:val="en-GB"/>
        </w:rPr>
        <w:t>foreign exchange risk factor across buckets.</w:t>
      </w:r>
      <w:r w:rsidR="002705A1">
        <w:rPr>
          <w:lang w:val="en-GB"/>
        </w:rPr>
        <w:t xml:space="preserve"> </w:t>
      </w:r>
    </w:p>
    <w:p w14:paraId="1B45575E" w14:textId="6F19781B" w:rsidR="00657236" w:rsidRPr="00180B8D" w:rsidRDefault="00D655E7">
      <w:pPr>
        <w:pStyle w:val="P68B1DB1-Normal2"/>
        <w:spacing w:after="0" w:line="240" w:lineRule="auto"/>
        <w:ind w:firstLine="567"/>
        <w:jc w:val="both"/>
        <w:rPr>
          <w:lang w:val="en-GB"/>
        </w:rPr>
      </w:pPr>
      <w:r w:rsidRPr="00180B8D">
        <w:rPr>
          <w:b/>
          <w:lang w:val="en-GB"/>
        </w:rPr>
        <w:t>84.</w:t>
      </w:r>
      <w:r w:rsidRPr="00180B8D">
        <w:rPr>
          <w:lang w:val="en-GB"/>
        </w:rPr>
        <w:t xml:space="preserve"> A uniform correlation parameter of 60 % shall </w:t>
      </w:r>
      <w:r w:rsidR="002705A1" w:rsidRPr="00180B8D">
        <w:rPr>
          <w:lang w:val="en-GB"/>
        </w:rPr>
        <w:t xml:space="preserve">apply </w:t>
      </w:r>
      <w:r w:rsidRPr="00180B8D">
        <w:rPr>
          <w:lang w:val="en-GB"/>
        </w:rPr>
        <w:t xml:space="preserve">to the aggregation of the sensitivities to </w:t>
      </w:r>
      <w:proofErr w:type="spellStart"/>
      <w:r w:rsidR="002705A1" w:rsidRPr="00180B8D">
        <w:rPr>
          <w:lang w:val="en-GB"/>
        </w:rPr>
        <w:t>vega</w:t>
      </w:r>
      <w:proofErr w:type="spellEnd"/>
      <w:r w:rsidR="002705A1" w:rsidRPr="00180B8D">
        <w:rPr>
          <w:lang w:val="en-GB"/>
        </w:rPr>
        <w:t xml:space="preserve"> </w:t>
      </w:r>
      <w:r w:rsidRPr="00180B8D">
        <w:rPr>
          <w:lang w:val="en-GB"/>
        </w:rPr>
        <w:t>foreign exchange risk factor across buckets.</w:t>
      </w:r>
    </w:p>
    <w:p w14:paraId="4E3567EC" w14:textId="77777777" w:rsidR="00657236" w:rsidRPr="00180B8D" w:rsidRDefault="00D655E7">
      <w:pPr>
        <w:pStyle w:val="P68B1DB1-Normal3"/>
        <w:spacing w:after="0" w:line="240" w:lineRule="auto"/>
        <w:jc w:val="center"/>
        <w:rPr>
          <w:lang w:val="en-GB"/>
        </w:rPr>
      </w:pPr>
      <w:r w:rsidRPr="00180B8D">
        <w:rPr>
          <w:lang w:val="en-GB"/>
        </w:rPr>
        <w:t>Section 15</w:t>
      </w:r>
    </w:p>
    <w:p w14:paraId="71E09A1B" w14:textId="77777777" w:rsidR="00657236" w:rsidRPr="00180B8D" w:rsidRDefault="00D655E7">
      <w:pPr>
        <w:pStyle w:val="P68B1DB1-Normal3"/>
        <w:spacing w:after="0" w:line="240" w:lineRule="auto"/>
        <w:jc w:val="center"/>
        <w:rPr>
          <w:lang w:val="en-GB"/>
        </w:rPr>
      </w:pPr>
      <w:r w:rsidRPr="00180B8D">
        <w:rPr>
          <w:lang w:val="en-GB"/>
        </w:rPr>
        <w:t>Risk weights for counterparty credit spread risk</w:t>
      </w:r>
    </w:p>
    <w:p w14:paraId="5084E1B0" w14:textId="2D31AB17" w:rsidR="00657236" w:rsidRPr="00180B8D" w:rsidRDefault="00D655E7">
      <w:pPr>
        <w:pStyle w:val="P68B1DB1-Normal2"/>
        <w:spacing w:after="0" w:line="240" w:lineRule="auto"/>
        <w:ind w:firstLine="567"/>
        <w:jc w:val="both"/>
        <w:rPr>
          <w:lang w:val="en-GB"/>
        </w:rPr>
      </w:pPr>
      <w:r w:rsidRPr="00180B8D">
        <w:rPr>
          <w:b/>
          <w:lang w:val="en-GB"/>
        </w:rPr>
        <w:t>85.</w:t>
      </w:r>
      <w:r w:rsidRPr="00180B8D">
        <w:rPr>
          <w:lang w:val="en-GB"/>
        </w:rPr>
        <w:t xml:space="preserve"> The risk weights for </w:t>
      </w:r>
      <w:r w:rsidR="004D3F83">
        <w:rPr>
          <w:lang w:val="en-GB"/>
        </w:rPr>
        <w:t xml:space="preserve">the </w:t>
      </w:r>
      <w:r w:rsidRPr="00180B8D">
        <w:rPr>
          <w:lang w:val="en-GB"/>
        </w:rPr>
        <w:t>delta sensitivities to counterparty credit spread risk factors shall be the same for all maturities (0</w:t>
      </w:r>
      <w:r w:rsidR="004D3F83">
        <w:rPr>
          <w:lang w:val="en-GB"/>
        </w:rPr>
        <w:t>,</w:t>
      </w:r>
      <w:r w:rsidRPr="00180B8D">
        <w:rPr>
          <w:lang w:val="en-GB"/>
        </w:rPr>
        <w:t xml:space="preserve">5 years, 1 year, 3 years, 5 years, 10 years) </w:t>
      </w:r>
      <w:r w:rsidR="004D3F83">
        <w:rPr>
          <w:lang w:val="en-GB"/>
        </w:rPr>
        <w:t>within</w:t>
      </w:r>
      <w:r w:rsidRPr="00180B8D">
        <w:rPr>
          <w:lang w:val="en-GB"/>
        </w:rPr>
        <w:t xml:space="preserve"> each bucket in Table 3 and shall be the following:</w:t>
      </w:r>
    </w:p>
    <w:p w14:paraId="14D2FBBA" w14:textId="77777777" w:rsidR="00657236" w:rsidRPr="00180B8D" w:rsidRDefault="00D655E7">
      <w:pPr>
        <w:pStyle w:val="P68B1DB1-Normal2"/>
        <w:spacing w:after="0" w:line="240" w:lineRule="auto"/>
        <w:ind w:firstLine="567"/>
        <w:jc w:val="both"/>
        <w:rPr>
          <w:lang w:val="en-GB"/>
        </w:rPr>
      </w:pPr>
      <w:r w:rsidRPr="00180B8D">
        <w:rPr>
          <w:lang w:val="en-GB"/>
        </w:rPr>
        <w:t> </w:t>
      </w:r>
    </w:p>
    <w:p w14:paraId="7D0FB96D" w14:textId="77777777" w:rsidR="00657236" w:rsidRPr="00180B8D" w:rsidRDefault="00D655E7">
      <w:pPr>
        <w:pStyle w:val="P68B1DB1-Normal4"/>
        <w:spacing w:after="0" w:line="240" w:lineRule="auto"/>
        <w:jc w:val="right"/>
        <w:rPr>
          <w:lang w:val="en-GB"/>
        </w:rPr>
      </w:pPr>
      <w:r w:rsidRPr="00180B8D">
        <w:rPr>
          <w:lang w:val="en-GB"/>
        </w:rPr>
        <w:t>Table 3</w:t>
      </w:r>
    </w:p>
    <w:p w14:paraId="5F4986E7" w14:textId="77777777" w:rsidR="00657236" w:rsidRPr="00180B8D" w:rsidRDefault="00D655E7">
      <w:pPr>
        <w:pStyle w:val="P68B1DB1-Normal2"/>
        <w:spacing w:after="0" w:line="240" w:lineRule="auto"/>
        <w:jc w:val="right"/>
        <w:rPr>
          <w:lang w:val="en-GB"/>
        </w:rPr>
      </w:pPr>
      <w:r w:rsidRPr="00180B8D">
        <w:rPr>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10"/>
        <w:gridCol w:w="1114"/>
        <w:gridCol w:w="4616"/>
        <w:gridCol w:w="831"/>
      </w:tblGrid>
      <w:tr w:rsidR="00657236" w:rsidRPr="00180B8D" w14:paraId="4C914106"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C276E0" w14:textId="77777777" w:rsidR="004D3F83" w:rsidRDefault="004D3F83">
            <w:pPr>
              <w:pStyle w:val="P68B1DB1-Normal1"/>
              <w:spacing w:after="0" w:line="240" w:lineRule="auto"/>
              <w:jc w:val="center"/>
              <w:rPr>
                <w:lang w:val="en-GB"/>
              </w:rPr>
            </w:pPr>
            <w:r w:rsidRPr="004D3F83">
              <w:rPr>
                <w:bCs/>
              </w:rPr>
              <w:t>Bucket </w:t>
            </w:r>
            <w:r w:rsidRPr="004D3F83">
              <w:rPr>
                <w:lang w:val="en-GB"/>
              </w:rPr>
              <w:t xml:space="preserve"> </w:t>
            </w:r>
          </w:p>
          <w:p w14:paraId="22C932F2" w14:textId="098DF37B" w:rsidR="00657236" w:rsidRPr="00180B8D" w:rsidRDefault="00D655E7">
            <w:pPr>
              <w:pStyle w:val="P68B1DB1-Normal1"/>
              <w:spacing w:after="0" w:line="240" w:lineRule="auto"/>
              <w:jc w:val="center"/>
              <w:rPr>
                <w:lang w:val="en-GB"/>
              </w:rPr>
            </w:pPr>
            <w:r w:rsidRPr="00180B8D">
              <w:rPr>
                <w:lang w:val="en-GB"/>
              </w:rPr>
              <w:t>number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BB43E64" w14:textId="77777777" w:rsidR="00657236" w:rsidRPr="00180B8D" w:rsidRDefault="00D655E7">
            <w:pPr>
              <w:pStyle w:val="P68B1DB1-Normal1"/>
              <w:spacing w:after="0" w:line="240" w:lineRule="auto"/>
              <w:jc w:val="center"/>
              <w:rPr>
                <w:lang w:val="en-GB"/>
              </w:rPr>
            </w:pPr>
            <w:r w:rsidRPr="00180B8D">
              <w:rPr>
                <w:lang w:val="en-GB"/>
              </w:rPr>
              <w:t>Credit quality</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CCA38F3" w14:textId="77777777" w:rsidR="00657236" w:rsidRPr="00180B8D" w:rsidRDefault="00D655E7">
            <w:pPr>
              <w:pStyle w:val="P68B1DB1-Normal1"/>
              <w:spacing w:after="0" w:line="240" w:lineRule="auto"/>
              <w:jc w:val="center"/>
              <w:rPr>
                <w:lang w:val="en-GB"/>
              </w:rPr>
            </w:pPr>
            <w:r w:rsidRPr="00180B8D">
              <w:rPr>
                <w:lang w:val="en-GB"/>
              </w:rPr>
              <w:t>Sector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F7AC14" w14:textId="77777777" w:rsidR="00657236" w:rsidRPr="00180B8D" w:rsidRDefault="00D655E7">
            <w:pPr>
              <w:pStyle w:val="P68B1DB1-Normal1"/>
              <w:spacing w:after="0" w:line="240" w:lineRule="auto"/>
              <w:jc w:val="center"/>
              <w:rPr>
                <w:lang w:val="en-GB"/>
              </w:rPr>
            </w:pPr>
            <w:r w:rsidRPr="00180B8D">
              <w:rPr>
                <w:lang w:val="en-GB"/>
              </w:rPr>
              <w:t>Risk weight</w:t>
            </w:r>
          </w:p>
        </w:tc>
      </w:tr>
      <w:tr w:rsidR="00657236" w:rsidRPr="00180B8D" w14:paraId="50F9F1F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B786123" w14:textId="77777777" w:rsidR="00657236" w:rsidRPr="00180B8D" w:rsidRDefault="00D655E7">
            <w:pPr>
              <w:pStyle w:val="P68B1DB1-Normal2"/>
              <w:spacing w:after="0" w:line="240" w:lineRule="auto"/>
              <w:jc w:val="center"/>
              <w:rPr>
                <w:lang w:val="en-GB"/>
              </w:rPr>
            </w:pPr>
            <w:r w:rsidRPr="00180B8D">
              <w:rPr>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37360" w14:textId="77777777" w:rsidR="00657236" w:rsidRPr="00180B8D" w:rsidRDefault="00D655E7">
            <w:pPr>
              <w:pStyle w:val="P68B1DB1-Normal2"/>
              <w:spacing w:after="0" w:line="240" w:lineRule="auto"/>
              <w:rPr>
                <w:lang w:val="en-GB"/>
              </w:rPr>
            </w:pPr>
            <w:r w:rsidRPr="00180B8D">
              <w:rPr>
                <w:lang w:val="en-GB"/>
              </w:rPr>
              <w:t>All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DE06DC" w14:textId="77777777" w:rsidR="00657236" w:rsidRPr="00180B8D" w:rsidRDefault="00D655E7">
            <w:pPr>
              <w:pStyle w:val="P68B1DB1-Normal2"/>
              <w:spacing w:after="0" w:line="240" w:lineRule="auto"/>
              <w:rPr>
                <w:lang w:val="en-GB"/>
              </w:rPr>
            </w:pPr>
            <w:r w:rsidRPr="00180B8D">
              <w:rPr>
                <w:lang w:val="en-GB"/>
              </w:rPr>
              <w:t>Central government authorities of the Republic of Moldova, National Bank of Moldova, including central government authorities of EU Member States, central banks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BA0FB8" w14:textId="77777777" w:rsidR="00657236" w:rsidRPr="00180B8D" w:rsidRDefault="00D655E7">
            <w:pPr>
              <w:pStyle w:val="P68B1DB1-Normal2"/>
              <w:spacing w:after="0" w:line="240" w:lineRule="auto"/>
              <w:jc w:val="center"/>
              <w:rPr>
                <w:lang w:val="en-GB"/>
              </w:rPr>
            </w:pPr>
            <w:r w:rsidRPr="00180B8D">
              <w:rPr>
                <w:lang w:val="en-GB"/>
              </w:rPr>
              <w:t>0,5 %</w:t>
            </w:r>
          </w:p>
        </w:tc>
      </w:tr>
      <w:tr w:rsidR="00657236" w:rsidRPr="00180B8D" w14:paraId="4E5E533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C46EB1" w14:textId="77777777" w:rsidR="00657236" w:rsidRPr="00180B8D" w:rsidRDefault="00D655E7">
            <w:pPr>
              <w:pStyle w:val="P68B1DB1-Normal2"/>
              <w:spacing w:after="0" w:line="240" w:lineRule="auto"/>
              <w:jc w:val="center"/>
              <w:rPr>
                <w:lang w:val="en-GB"/>
              </w:rPr>
            </w:pPr>
            <w:r w:rsidRPr="00180B8D">
              <w:rPr>
                <w:lang w:val="en-GB"/>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74D99" w14:textId="77777777" w:rsidR="00657236" w:rsidRPr="00180B8D" w:rsidRDefault="00D655E7">
            <w:pPr>
              <w:pStyle w:val="P68B1DB1-Normal2"/>
              <w:spacing w:after="0" w:line="240" w:lineRule="auto"/>
              <w:rPr>
                <w:lang w:val="en-GB"/>
              </w:rPr>
            </w:pPr>
            <w:r w:rsidRPr="00180B8D">
              <w:rPr>
                <w:lang w:val="en-GB"/>
              </w:rPr>
              <w:t>Credit quality step 1 to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C8C37E" w14:textId="40E90FFD" w:rsidR="00657236" w:rsidRPr="00180B8D" w:rsidRDefault="00D655E7">
            <w:pPr>
              <w:pStyle w:val="P68B1DB1-Normal2"/>
              <w:spacing w:after="0" w:line="240" w:lineRule="auto"/>
              <w:rPr>
                <w:lang w:val="en-GB"/>
              </w:rPr>
            </w:pPr>
            <w:r w:rsidRPr="00180B8D">
              <w:rPr>
                <w:lang w:val="en-GB"/>
              </w:rPr>
              <w:t xml:space="preserve">Authorities of the central government of the Republic of Moldova, including central banks, </w:t>
            </w:r>
            <w:r w:rsidR="00DB3CEE">
              <w:rPr>
                <w:lang w:val="en-GB"/>
              </w:rPr>
              <w:t xml:space="preserve">of </w:t>
            </w:r>
            <w:r w:rsidRPr="00180B8D">
              <w:rPr>
                <w:lang w:val="en-GB"/>
              </w:rPr>
              <w:t>third countries, multilateral development banks and international organisations referred to in the regulatory provisions for the treatment of market risk under the standardised approach.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09B9A" w14:textId="77777777" w:rsidR="00657236" w:rsidRPr="00180B8D" w:rsidRDefault="00D655E7">
            <w:pPr>
              <w:pStyle w:val="P68B1DB1-Normal2"/>
              <w:spacing w:after="0" w:line="240" w:lineRule="auto"/>
              <w:jc w:val="center"/>
              <w:rPr>
                <w:lang w:val="en-GB"/>
              </w:rPr>
            </w:pPr>
            <w:r w:rsidRPr="00180B8D">
              <w:rPr>
                <w:lang w:val="en-GB"/>
              </w:rPr>
              <w:t>0,5 %</w:t>
            </w:r>
          </w:p>
        </w:tc>
      </w:tr>
      <w:tr w:rsidR="00657236" w:rsidRPr="00180B8D" w14:paraId="084BFC1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AA3607" w14:textId="77777777" w:rsidR="00657236" w:rsidRPr="00180B8D" w:rsidRDefault="00D655E7">
            <w:pPr>
              <w:pStyle w:val="P68B1DB1-Normal2"/>
              <w:spacing w:after="0" w:line="240" w:lineRule="auto"/>
              <w:jc w:val="center"/>
              <w:rPr>
                <w:lang w:val="en-GB"/>
              </w:rPr>
            </w:pPr>
            <w:r w:rsidRPr="00180B8D">
              <w:rPr>
                <w:lang w:val="en-GB"/>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3E75901"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4E2027" w14:textId="77777777" w:rsidR="00657236" w:rsidRPr="00180B8D" w:rsidRDefault="00D655E7">
            <w:pPr>
              <w:pStyle w:val="P68B1DB1-Normal2"/>
              <w:spacing w:after="0" w:line="240" w:lineRule="auto"/>
              <w:rPr>
                <w:lang w:val="en-GB"/>
              </w:rPr>
            </w:pPr>
            <w:r w:rsidRPr="00180B8D">
              <w:rPr>
                <w:lang w:val="en-GB"/>
              </w:rPr>
              <w:t>Local public authority and public sector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345921" w14:textId="77777777" w:rsidR="00657236" w:rsidRPr="00180B8D" w:rsidRDefault="00D655E7">
            <w:pPr>
              <w:pStyle w:val="P68B1DB1-Normal2"/>
              <w:spacing w:after="0" w:line="240" w:lineRule="auto"/>
              <w:jc w:val="center"/>
              <w:rPr>
                <w:lang w:val="en-GB"/>
              </w:rPr>
            </w:pPr>
            <w:r w:rsidRPr="00180B8D">
              <w:rPr>
                <w:lang w:val="en-GB"/>
              </w:rPr>
              <w:t>1,0 %</w:t>
            </w:r>
          </w:p>
        </w:tc>
      </w:tr>
      <w:tr w:rsidR="00657236" w:rsidRPr="00180B8D" w14:paraId="044DF91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13B60E" w14:textId="77777777" w:rsidR="00657236" w:rsidRPr="00180B8D" w:rsidRDefault="00D655E7">
            <w:pPr>
              <w:pStyle w:val="P68B1DB1-Normal2"/>
              <w:spacing w:after="0" w:line="240" w:lineRule="auto"/>
              <w:jc w:val="center"/>
              <w:rPr>
                <w:lang w:val="en-GB"/>
              </w:rPr>
            </w:pPr>
            <w:r w:rsidRPr="00180B8D">
              <w:rPr>
                <w:lang w:val="en-GB"/>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3C28E8"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F9FC63" w14:textId="77777777" w:rsidR="00657236" w:rsidRPr="00180B8D" w:rsidRDefault="00D655E7">
            <w:pPr>
              <w:pStyle w:val="P68B1DB1-Normal2"/>
              <w:spacing w:after="0" w:line="240" w:lineRule="auto"/>
              <w:rPr>
                <w:lang w:val="en-GB"/>
              </w:rPr>
            </w:pPr>
            <w:r w:rsidRPr="00180B8D">
              <w:rPr>
                <w:lang w:val="en-GB"/>
              </w:rPr>
              <w:t>Financial sector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42CF8" w14:textId="77777777" w:rsidR="00657236" w:rsidRPr="00180B8D" w:rsidRDefault="00D655E7">
            <w:pPr>
              <w:pStyle w:val="P68B1DB1-Normal2"/>
              <w:spacing w:after="0" w:line="240" w:lineRule="auto"/>
              <w:jc w:val="center"/>
              <w:rPr>
                <w:lang w:val="en-GB"/>
              </w:rPr>
            </w:pPr>
            <w:r w:rsidRPr="00180B8D">
              <w:rPr>
                <w:lang w:val="en-GB"/>
              </w:rPr>
              <w:t>5,0 %</w:t>
            </w:r>
          </w:p>
        </w:tc>
      </w:tr>
      <w:tr w:rsidR="00657236" w:rsidRPr="00180B8D" w14:paraId="089DA0C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5AB144" w14:textId="77777777" w:rsidR="00657236" w:rsidRPr="00180B8D" w:rsidRDefault="00D655E7">
            <w:pPr>
              <w:pStyle w:val="P68B1DB1-Normal2"/>
              <w:spacing w:after="0" w:line="240" w:lineRule="auto"/>
              <w:jc w:val="center"/>
              <w:rPr>
                <w:lang w:val="en-GB"/>
              </w:rPr>
            </w:pPr>
            <w:r w:rsidRPr="00180B8D">
              <w:rPr>
                <w:lang w:val="en-GB"/>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84F4E7A"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8270D1" w14:textId="786D007E" w:rsidR="00657236" w:rsidRPr="00180B8D" w:rsidRDefault="00D655E7">
            <w:pPr>
              <w:pStyle w:val="P68B1DB1-Normal2"/>
              <w:spacing w:after="0" w:line="240" w:lineRule="auto"/>
              <w:rPr>
                <w:lang w:val="en-GB"/>
              </w:rPr>
            </w:pPr>
            <w:r w:rsidRPr="00180B8D">
              <w:rPr>
                <w:lang w:val="en-GB"/>
              </w:rPr>
              <w:t>Basic materials, energy, industrial</w:t>
            </w:r>
            <w:r w:rsidR="00F96E77">
              <w:rPr>
                <w:lang w:val="en-GB"/>
              </w:rPr>
              <w:t>s</w:t>
            </w:r>
            <w:r w:rsidRPr="00180B8D">
              <w:rPr>
                <w:lang w:val="en-GB"/>
              </w:rPr>
              <w:t>, agriculture, manufacturing, mining and quarrying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2EDB3E" w14:textId="77777777" w:rsidR="00657236" w:rsidRPr="00180B8D" w:rsidRDefault="00D655E7">
            <w:pPr>
              <w:pStyle w:val="P68B1DB1-Normal2"/>
              <w:spacing w:after="0" w:line="240" w:lineRule="auto"/>
              <w:jc w:val="center"/>
              <w:rPr>
                <w:lang w:val="en-GB"/>
              </w:rPr>
            </w:pPr>
            <w:r w:rsidRPr="00180B8D">
              <w:rPr>
                <w:lang w:val="en-GB"/>
              </w:rPr>
              <w:t>3,0 %</w:t>
            </w:r>
          </w:p>
        </w:tc>
      </w:tr>
      <w:tr w:rsidR="00657236" w:rsidRPr="00180B8D" w14:paraId="0A387D4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2DE888" w14:textId="77777777" w:rsidR="00657236" w:rsidRPr="00180B8D" w:rsidRDefault="00D655E7">
            <w:pPr>
              <w:pStyle w:val="P68B1DB1-Normal2"/>
              <w:spacing w:after="0" w:line="240" w:lineRule="auto"/>
              <w:jc w:val="center"/>
              <w:rPr>
                <w:lang w:val="en-GB"/>
              </w:rPr>
            </w:pPr>
            <w:r w:rsidRPr="00180B8D">
              <w:rPr>
                <w:lang w:val="en-GB"/>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3E7502"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1BB222" w14:textId="22EB40C8" w:rsidR="00657236" w:rsidRPr="00180B8D" w:rsidRDefault="00D655E7">
            <w:pPr>
              <w:pStyle w:val="P68B1DB1-Normal2"/>
              <w:spacing w:after="0" w:line="240" w:lineRule="auto"/>
              <w:rPr>
                <w:lang w:val="en-GB"/>
              </w:rPr>
            </w:pPr>
            <w:bookmarkStart w:id="0" w:name="_Hlk231834163"/>
            <w:r w:rsidRPr="00180B8D">
              <w:rPr>
                <w:lang w:val="en-GB"/>
              </w:rPr>
              <w:t>Consumer goods and services, transport</w:t>
            </w:r>
            <w:r w:rsidR="000D14F9">
              <w:rPr>
                <w:lang w:val="en-GB"/>
              </w:rPr>
              <w:t>ation</w:t>
            </w:r>
            <w:r w:rsidRPr="00180B8D">
              <w:rPr>
                <w:lang w:val="en-GB"/>
              </w:rPr>
              <w:t xml:space="preserve"> and storage, administrative and support </w:t>
            </w:r>
            <w:r w:rsidR="000D14F9" w:rsidRPr="00180B8D">
              <w:rPr>
                <w:lang w:val="en-GB"/>
              </w:rPr>
              <w:t xml:space="preserve">service </w:t>
            </w:r>
            <w:r w:rsidRPr="00180B8D">
              <w:rPr>
                <w:lang w:val="en-GB"/>
              </w:rPr>
              <w:t>activities</w:t>
            </w:r>
            <w:r w:rsidR="000D14F9">
              <w:rPr>
                <w:lang w:val="en-GB"/>
              </w:rPr>
              <w:t xml:space="preserve"> </w:t>
            </w:r>
            <w:bookmarkEnd w:id="0"/>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D851E" w14:textId="77777777" w:rsidR="00657236" w:rsidRPr="00180B8D" w:rsidRDefault="00D655E7">
            <w:pPr>
              <w:pStyle w:val="P68B1DB1-Normal2"/>
              <w:spacing w:after="0" w:line="240" w:lineRule="auto"/>
              <w:jc w:val="center"/>
              <w:rPr>
                <w:lang w:val="en-GB"/>
              </w:rPr>
            </w:pPr>
            <w:r w:rsidRPr="00180B8D">
              <w:rPr>
                <w:lang w:val="en-GB"/>
              </w:rPr>
              <w:t>3,0 %</w:t>
            </w:r>
          </w:p>
        </w:tc>
      </w:tr>
      <w:tr w:rsidR="00657236" w:rsidRPr="00180B8D" w14:paraId="48F05AF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2BF607" w14:textId="77777777" w:rsidR="00657236" w:rsidRPr="00180B8D" w:rsidRDefault="00D655E7">
            <w:pPr>
              <w:pStyle w:val="P68B1DB1-Normal2"/>
              <w:spacing w:after="0" w:line="240" w:lineRule="auto"/>
              <w:jc w:val="center"/>
              <w:rPr>
                <w:lang w:val="en-GB"/>
              </w:rPr>
            </w:pPr>
            <w:r w:rsidRPr="00180B8D">
              <w:rPr>
                <w:lang w:val="en-GB"/>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58A291A"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7885F" w14:textId="77777777" w:rsidR="00657236" w:rsidRPr="00180B8D" w:rsidRDefault="00D655E7">
            <w:pPr>
              <w:pStyle w:val="P68B1DB1-Normal2"/>
              <w:spacing w:after="0" w:line="240" w:lineRule="auto"/>
              <w:rPr>
                <w:lang w:val="en-GB"/>
              </w:rPr>
            </w:pPr>
            <w:r w:rsidRPr="00180B8D">
              <w:rPr>
                <w:lang w:val="en-GB"/>
              </w:rPr>
              <w:t>Technology, telecommunications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17965D" w14:textId="77777777" w:rsidR="00657236" w:rsidRPr="00180B8D" w:rsidRDefault="00D655E7">
            <w:pPr>
              <w:pStyle w:val="P68B1DB1-Normal2"/>
              <w:spacing w:after="0" w:line="240" w:lineRule="auto"/>
              <w:jc w:val="center"/>
              <w:rPr>
                <w:lang w:val="en-GB"/>
              </w:rPr>
            </w:pPr>
            <w:r w:rsidRPr="00180B8D">
              <w:rPr>
                <w:lang w:val="en-GB"/>
              </w:rPr>
              <w:t>2,0 %</w:t>
            </w:r>
          </w:p>
        </w:tc>
      </w:tr>
      <w:tr w:rsidR="00657236" w:rsidRPr="00180B8D" w14:paraId="1E3731F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DE356E" w14:textId="77777777" w:rsidR="00657236" w:rsidRPr="00180B8D" w:rsidRDefault="00D655E7">
            <w:pPr>
              <w:pStyle w:val="P68B1DB1-Normal2"/>
              <w:spacing w:after="0" w:line="240" w:lineRule="auto"/>
              <w:jc w:val="center"/>
              <w:rPr>
                <w:lang w:val="en-GB"/>
              </w:rPr>
            </w:pPr>
            <w:r w:rsidRPr="00180B8D">
              <w:rPr>
                <w:lang w:val="en-GB"/>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2B4A14B"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9C760A" w14:textId="77777777" w:rsidR="00657236" w:rsidRPr="00180B8D" w:rsidRDefault="00D655E7">
            <w:pPr>
              <w:pStyle w:val="P68B1DB1-Normal2"/>
              <w:spacing w:after="0" w:line="240" w:lineRule="auto"/>
              <w:rPr>
                <w:lang w:val="en-GB"/>
              </w:rPr>
            </w:pPr>
            <w:r w:rsidRPr="00180B8D">
              <w:rPr>
                <w:lang w:val="en-GB"/>
              </w:rPr>
              <w:t>Health care, utilities, professional and technical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93586" w14:textId="77777777" w:rsidR="00657236" w:rsidRPr="00180B8D" w:rsidRDefault="00D655E7">
            <w:pPr>
              <w:pStyle w:val="P68B1DB1-Normal2"/>
              <w:spacing w:after="0" w:line="240" w:lineRule="auto"/>
              <w:jc w:val="center"/>
              <w:rPr>
                <w:lang w:val="en-GB"/>
              </w:rPr>
            </w:pPr>
            <w:r w:rsidRPr="00180B8D">
              <w:rPr>
                <w:lang w:val="en-GB"/>
              </w:rPr>
              <w:t>1,5 %</w:t>
            </w:r>
          </w:p>
        </w:tc>
      </w:tr>
      <w:tr w:rsidR="00657236" w:rsidRPr="00180B8D" w14:paraId="43ED3F0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85AEB8" w14:textId="77777777" w:rsidR="00657236" w:rsidRPr="00180B8D" w:rsidRDefault="00D655E7">
            <w:pPr>
              <w:pStyle w:val="P68B1DB1-Normal2"/>
              <w:spacing w:after="0" w:line="240" w:lineRule="auto"/>
              <w:jc w:val="center"/>
              <w:rPr>
                <w:lang w:val="en-GB"/>
              </w:rPr>
            </w:pPr>
            <w:r w:rsidRPr="00180B8D">
              <w:rPr>
                <w:lang w:val="en-GB"/>
              </w:rPr>
              <w:lastRenderedPageBreak/>
              <w:t>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8CB3B2"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DD667E3" w14:textId="77777777" w:rsidR="00657236" w:rsidRPr="00180B8D" w:rsidRDefault="00D655E7">
            <w:pPr>
              <w:pStyle w:val="P68B1DB1-Normal2"/>
              <w:spacing w:after="0" w:line="240" w:lineRule="auto"/>
              <w:rPr>
                <w:lang w:val="en-GB"/>
              </w:rPr>
            </w:pPr>
            <w:r w:rsidRPr="00180B8D">
              <w:rPr>
                <w:lang w:val="en-GB"/>
              </w:rPr>
              <w:t xml:space="preserve">Covered bonds issued by </w:t>
            </w:r>
            <w:r w:rsidRPr="00180B8D">
              <w:rPr>
                <w:lang w:val="en-GB"/>
              </w:rPr>
              <w:t>banks established in EU Member States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C6076" w14:textId="77777777" w:rsidR="00657236" w:rsidRPr="00180B8D" w:rsidRDefault="00D655E7">
            <w:pPr>
              <w:pStyle w:val="P68B1DB1-Normal2"/>
              <w:spacing w:after="0" w:line="240" w:lineRule="auto"/>
              <w:jc w:val="center"/>
              <w:rPr>
                <w:lang w:val="en-GB"/>
              </w:rPr>
            </w:pPr>
            <w:r w:rsidRPr="00180B8D">
              <w:rPr>
                <w:lang w:val="en-GB"/>
              </w:rPr>
              <w:t>1,0 %</w:t>
            </w:r>
          </w:p>
        </w:tc>
      </w:tr>
      <w:tr w:rsidR="00657236" w:rsidRPr="00180B8D" w14:paraId="693DEA7A" w14:textId="77777777">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988154" w14:textId="77777777" w:rsidR="00657236" w:rsidRPr="00180B8D" w:rsidRDefault="00D655E7">
            <w:pPr>
              <w:pStyle w:val="P68B1DB1-Normal2"/>
              <w:spacing w:after="0" w:line="240" w:lineRule="auto"/>
              <w:jc w:val="center"/>
              <w:rPr>
                <w:lang w:val="en-GB"/>
              </w:rPr>
            </w:pPr>
            <w:r w:rsidRPr="00180B8D">
              <w:rPr>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A668C8" w14:textId="77777777" w:rsidR="00657236" w:rsidRPr="00180B8D" w:rsidRDefault="00D655E7">
            <w:pPr>
              <w:pStyle w:val="P68B1DB1-Normal2"/>
              <w:spacing w:after="0" w:line="240" w:lineRule="auto"/>
              <w:rPr>
                <w:lang w:val="en-GB"/>
              </w:rPr>
            </w:pPr>
            <w:r w:rsidRPr="00180B8D">
              <w:rPr>
                <w:lang w:val="en-GB"/>
              </w:rPr>
              <w:t>Credit quality step 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0E7E79" w14:textId="77777777" w:rsidR="00657236" w:rsidRPr="00180B8D" w:rsidRDefault="00D655E7">
            <w:pPr>
              <w:pStyle w:val="P68B1DB1-Normal2"/>
              <w:spacing w:after="0" w:line="240" w:lineRule="auto"/>
              <w:rPr>
                <w:lang w:val="en-GB"/>
              </w:rPr>
            </w:pPr>
            <w:r w:rsidRPr="00180B8D">
              <w:rPr>
                <w:lang w:val="en-GB"/>
              </w:rPr>
              <w:t>Covered bonds issued by banks in third countries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16BC2E" w14:textId="77777777" w:rsidR="00657236" w:rsidRPr="00180B8D" w:rsidRDefault="00D655E7">
            <w:pPr>
              <w:pStyle w:val="P68B1DB1-Normal2"/>
              <w:spacing w:after="0" w:line="240" w:lineRule="auto"/>
              <w:jc w:val="center"/>
              <w:rPr>
                <w:lang w:val="en-GB"/>
              </w:rPr>
            </w:pPr>
            <w:r w:rsidRPr="00180B8D">
              <w:rPr>
                <w:lang w:val="en-GB"/>
              </w:rPr>
              <w:t>1,5 %</w:t>
            </w:r>
          </w:p>
        </w:tc>
      </w:tr>
      <w:tr w:rsidR="00657236" w:rsidRPr="00180B8D" w14:paraId="49696995" w14:textId="77777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7594C40"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CEE561" w14:textId="77777777" w:rsidR="00657236" w:rsidRPr="00180B8D" w:rsidRDefault="00D655E7">
            <w:pPr>
              <w:pStyle w:val="P68B1DB1-Normal2"/>
              <w:spacing w:after="0" w:line="240" w:lineRule="auto"/>
              <w:rPr>
                <w:lang w:val="en-GB"/>
              </w:rPr>
            </w:pPr>
            <w:r w:rsidRPr="00180B8D">
              <w:rPr>
                <w:lang w:val="en-GB"/>
              </w:rPr>
              <w:t>Credit quality step 2-3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428192"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D7194E2" w14:textId="77777777" w:rsidR="00657236" w:rsidRPr="00180B8D" w:rsidRDefault="00D655E7">
            <w:pPr>
              <w:pStyle w:val="P68B1DB1-Normal2"/>
              <w:spacing w:after="0" w:line="240" w:lineRule="auto"/>
              <w:jc w:val="center"/>
              <w:rPr>
                <w:lang w:val="en-GB"/>
              </w:rPr>
            </w:pPr>
            <w:r w:rsidRPr="00180B8D">
              <w:rPr>
                <w:lang w:val="en-GB"/>
              </w:rPr>
              <w:t>2,5 %</w:t>
            </w:r>
          </w:p>
        </w:tc>
      </w:tr>
      <w:tr w:rsidR="00657236" w:rsidRPr="00180B8D" w14:paraId="6FFB86F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45DE8" w14:textId="77777777" w:rsidR="00657236" w:rsidRPr="00180B8D" w:rsidRDefault="00D655E7">
            <w:pPr>
              <w:pStyle w:val="P68B1DB1-Normal2"/>
              <w:spacing w:after="0" w:line="240" w:lineRule="auto"/>
              <w:jc w:val="center"/>
              <w:rPr>
                <w:lang w:val="en-GB"/>
              </w:rPr>
            </w:pPr>
            <w:r w:rsidRPr="00180B8D">
              <w:rPr>
                <w:lang w:val="en-GB"/>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9372E1" w14:textId="77777777" w:rsidR="00657236" w:rsidRPr="00180B8D" w:rsidRDefault="00D655E7">
            <w:pPr>
              <w:pStyle w:val="P68B1DB1-Normal2"/>
              <w:spacing w:after="0" w:line="240" w:lineRule="auto"/>
              <w:rPr>
                <w:lang w:val="en-GB"/>
              </w:rPr>
            </w:pPr>
            <w:r w:rsidRPr="00180B8D">
              <w:rPr>
                <w:lang w:val="en-GB"/>
              </w:rPr>
              <w:t>Credit quality step 1 to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AB2DA0" w14:textId="77777777" w:rsidR="00657236" w:rsidRPr="00180B8D" w:rsidRDefault="00D655E7">
            <w:pPr>
              <w:pStyle w:val="P68B1DB1-Normal2"/>
              <w:spacing w:after="0" w:line="240" w:lineRule="auto"/>
              <w:rPr>
                <w:lang w:val="en-GB"/>
              </w:rPr>
            </w:pPr>
            <w:proofErr w:type="gramStart"/>
            <w:r w:rsidRPr="00180B8D">
              <w:rPr>
                <w:lang w:val="en-GB"/>
              </w:rPr>
              <w:t>Other</w:t>
            </w:r>
            <w:proofErr w:type="gramEnd"/>
            <w:r w:rsidRPr="00180B8D">
              <w:rPr>
                <w:lang w:val="en-GB"/>
              </w:rPr>
              <w:t xml:space="preserve"> sector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025820" w14:textId="77777777" w:rsidR="00657236" w:rsidRPr="00180B8D" w:rsidRDefault="00D655E7">
            <w:pPr>
              <w:pStyle w:val="P68B1DB1-Normal2"/>
              <w:spacing w:after="0" w:line="240" w:lineRule="auto"/>
              <w:jc w:val="center"/>
              <w:rPr>
                <w:lang w:val="en-GB"/>
              </w:rPr>
            </w:pPr>
            <w:r w:rsidRPr="00180B8D">
              <w:rPr>
                <w:lang w:val="en-GB"/>
              </w:rPr>
              <w:t>5,0 %</w:t>
            </w:r>
          </w:p>
        </w:tc>
      </w:tr>
      <w:tr w:rsidR="00657236" w:rsidRPr="00180B8D" w14:paraId="3D9458A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7656B4" w14:textId="77777777" w:rsidR="00657236" w:rsidRPr="00180B8D" w:rsidRDefault="00D655E7">
            <w:pPr>
              <w:pStyle w:val="P68B1DB1-Normal2"/>
              <w:spacing w:after="0" w:line="240" w:lineRule="auto"/>
              <w:jc w:val="center"/>
              <w:rPr>
                <w:lang w:val="en-GB"/>
              </w:rPr>
            </w:pPr>
            <w:r w:rsidRPr="00180B8D">
              <w:rPr>
                <w:lang w:val="en-GB"/>
              </w:rPr>
              <w:t>12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E8F343"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909D7" w14:textId="70FCD21A" w:rsidR="00657236" w:rsidRPr="00180B8D" w:rsidRDefault="00D655E7">
            <w:pPr>
              <w:pStyle w:val="P68B1DB1-Normal2"/>
              <w:spacing w:after="0" w:line="240" w:lineRule="auto"/>
              <w:rPr>
                <w:lang w:val="en-GB"/>
              </w:rPr>
            </w:pPr>
            <w:r w:rsidRPr="00180B8D">
              <w:rPr>
                <w:lang w:val="en-GB"/>
              </w:rPr>
              <w:t>Qualif</w:t>
            </w:r>
            <w:r w:rsidR="000D14F9">
              <w:rPr>
                <w:lang w:val="en-GB"/>
              </w:rPr>
              <w:t>ied</w:t>
            </w:r>
            <w:r w:rsidRPr="00180B8D">
              <w:rPr>
                <w:lang w:val="en-GB"/>
              </w:rPr>
              <w:t xml:space="preserve"> indices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8B2EEE" w14:textId="77777777" w:rsidR="00657236" w:rsidRPr="00180B8D" w:rsidRDefault="00D655E7">
            <w:pPr>
              <w:pStyle w:val="P68B1DB1-Normal2"/>
              <w:spacing w:after="0" w:line="240" w:lineRule="auto"/>
              <w:jc w:val="center"/>
              <w:rPr>
                <w:lang w:val="en-GB"/>
              </w:rPr>
            </w:pPr>
            <w:r w:rsidRPr="00180B8D">
              <w:rPr>
                <w:lang w:val="en-GB"/>
              </w:rPr>
              <w:t>1,5 %</w:t>
            </w:r>
          </w:p>
        </w:tc>
      </w:tr>
      <w:tr w:rsidR="00657236" w:rsidRPr="00180B8D" w14:paraId="4E11272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199944" w14:textId="77777777" w:rsidR="00657236" w:rsidRPr="00180B8D" w:rsidRDefault="00D655E7">
            <w:pPr>
              <w:pStyle w:val="P68B1DB1-Normal2"/>
              <w:spacing w:after="0" w:line="240" w:lineRule="auto"/>
              <w:jc w:val="center"/>
              <w:rPr>
                <w:lang w:val="en-GB"/>
              </w:rPr>
            </w:pPr>
            <w:r w:rsidRPr="00180B8D">
              <w:rPr>
                <w:lang w:val="en-GB"/>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19B20D" w14:textId="77777777" w:rsidR="00657236" w:rsidRPr="00180B8D" w:rsidRDefault="00D655E7">
            <w:pPr>
              <w:pStyle w:val="P68B1DB1-Normal2"/>
              <w:spacing w:after="0" w:line="240" w:lineRule="auto"/>
              <w:rPr>
                <w:lang w:val="en-GB"/>
              </w:rPr>
            </w:pPr>
            <w:r w:rsidRPr="00180B8D">
              <w:rPr>
                <w:lang w:val="en-GB"/>
              </w:rPr>
              <w:t xml:space="preserve">Credit </w:t>
            </w:r>
            <w:r w:rsidRPr="00180B8D">
              <w:rPr>
                <w:lang w:val="en-GB"/>
              </w:rPr>
              <w:t>quality step 4 to 6 and unrated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D06960" w14:textId="3C9D3DC8" w:rsidR="00657236" w:rsidRPr="00180B8D" w:rsidRDefault="00D655E7">
            <w:pPr>
              <w:pStyle w:val="P68B1DB1-Normal2"/>
              <w:spacing w:after="0" w:line="240" w:lineRule="auto"/>
              <w:rPr>
                <w:lang w:val="en-GB"/>
              </w:rPr>
            </w:pPr>
            <w:r w:rsidRPr="00180B8D">
              <w:rPr>
                <w:lang w:val="en-GB"/>
              </w:rPr>
              <w:t xml:space="preserve">Central government authorities of the Republic of Moldova, including central banks, </w:t>
            </w:r>
            <w:r w:rsidR="00DB3CEE">
              <w:rPr>
                <w:lang w:val="en-GB"/>
              </w:rPr>
              <w:t xml:space="preserve">of </w:t>
            </w:r>
            <w:r w:rsidRPr="00180B8D">
              <w:rPr>
                <w:lang w:val="en-GB"/>
              </w:rPr>
              <w:t xml:space="preserve">third countries, multilateral development banks and international organisations referred to in the market risk treatment regulations under the </w:t>
            </w:r>
            <w:r w:rsidR="000D14F9">
              <w:rPr>
                <w:lang w:val="en-GB"/>
              </w:rPr>
              <w:t>s</w:t>
            </w:r>
            <w:r w:rsidRPr="00180B8D">
              <w:rPr>
                <w:lang w:val="en-GB"/>
              </w:rPr>
              <w:t xml:space="preserve">tandardised </w:t>
            </w:r>
            <w:r w:rsidR="000D14F9">
              <w:rPr>
                <w:lang w:val="en-GB"/>
              </w:rPr>
              <w:t>a</w:t>
            </w:r>
            <w:r w:rsidRPr="00180B8D">
              <w:rPr>
                <w:lang w:val="en-GB"/>
              </w:rPr>
              <w:t>pproach.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675ABF" w14:textId="77777777" w:rsidR="00657236" w:rsidRPr="00180B8D" w:rsidRDefault="00D655E7">
            <w:pPr>
              <w:pStyle w:val="P68B1DB1-Normal2"/>
              <w:spacing w:after="0" w:line="240" w:lineRule="auto"/>
              <w:jc w:val="center"/>
              <w:rPr>
                <w:lang w:val="en-GB"/>
              </w:rPr>
            </w:pPr>
            <w:r w:rsidRPr="00180B8D">
              <w:rPr>
                <w:lang w:val="en-GB"/>
              </w:rPr>
              <w:t>2,0 %</w:t>
            </w:r>
          </w:p>
        </w:tc>
      </w:tr>
      <w:tr w:rsidR="00657236" w:rsidRPr="00180B8D" w14:paraId="184ECCF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18E8BB" w14:textId="77777777" w:rsidR="00657236" w:rsidRPr="00180B8D" w:rsidRDefault="00D655E7">
            <w:pPr>
              <w:pStyle w:val="P68B1DB1-Normal2"/>
              <w:spacing w:after="0" w:line="240" w:lineRule="auto"/>
              <w:jc w:val="center"/>
              <w:rPr>
                <w:lang w:val="en-GB"/>
              </w:rPr>
            </w:pPr>
            <w:r w:rsidRPr="00180B8D">
              <w:rPr>
                <w:lang w:val="en-GB"/>
              </w:rPr>
              <w:t>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A4F951"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FD78C9" w14:textId="77777777" w:rsidR="00657236" w:rsidRPr="00180B8D" w:rsidRDefault="00D655E7">
            <w:pPr>
              <w:pStyle w:val="P68B1DB1-Normal2"/>
              <w:spacing w:after="0" w:line="240" w:lineRule="auto"/>
              <w:rPr>
                <w:lang w:val="en-GB"/>
              </w:rPr>
            </w:pPr>
            <w:r w:rsidRPr="00180B8D">
              <w:rPr>
                <w:lang w:val="en-GB"/>
              </w:rPr>
              <w:t>Local public authority and public sector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0F9833" w14:textId="77777777" w:rsidR="00657236" w:rsidRPr="00180B8D" w:rsidRDefault="00D655E7">
            <w:pPr>
              <w:pStyle w:val="P68B1DB1-Normal2"/>
              <w:spacing w:after="0" w:line="240" w:lineRule="auto"/>
              <w:jc w:val="center"/>
              <w:rPr>
                <w:lang w:val="en-GB"/>
              </w:rPr>
            </w:pPr>
            <w:r w:rsidRPr="00180B8D">
              <w:rPr>
                <w:lang w:val="en-GB"/>
              </w:rPr>
              <w:t>4,0 %</w:t>
            </w:r>
          </w:p>
        </w:tc>
      </w:tr>
      <w:tr w:rsidR="00657236" w:rsidRPr="00180B8D" w14:paraId="66AEBFC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1B1EC4" w14:textId="77777777" w:rsidR="00657236" w:rsidRPr="00180B8D" w:rsidRDefault="00D655E7">
            <w:pPr>
              <w:pStyle w:val="P68B1DB1-Normal2"/>
              <w:spacing w:after="0" w:line="240" w:lineRule="auto"/>
              <w:jc w:val="center"/>
              <w:rPr>
                <w:lang w:val="en-GB"/>
              </w:rPr>
            </w:pPr>
            <w:r w:rsidRPr="00180B8D">
              <w:rPr>
                <w:lang w:val="en-GB"/>
              </w:rPr>
              <w:t>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780DAA"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B0D8AB" w14:textId="77777777" w:rsidR="00657236" w:rsidRPr="00180B8D" w:rsidRDefault="00D655E7">
            <w:pPr>
              <w:pStyle w:val="P68B1DB1-Normal2"/>
              <w:spacing w:after="0" w:line="240" w:lineRule="auto"/>
              <w:rPr>
                <w:lang w:val="en-GB"/>
              </w:rPr>
            </w:pPr>
            <w:r w:rsidRPr="00180B8D">
              <w:rPr>
                <w:lang w:val="en-GB"/>
              </w:rPr>
              <w:t>Financial sector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7514E1" w14:textId="77777777" w:rsidR="00657236" w:rsidRPr="00180B8D" w:rsidRDefault="00D655E7">
            <w:pPr>
              <w:pStyle w:val="P68B1DB1-Normal2"/>
              <w:spacing w:after="0" w:line="240" w:lineRule="auto"/>
              <w:jc w:val="center"/>
              <w:rPr>
                <w:lang w:val="en-GB"/>
              </w:rPr>
            </w:pPr>
            <w:r w:rsidRPr="00180B8D">
              <w:rPr>
                <w:lang w:val="en-GB"/>
              </w:rPr>
              <w:t>12,0 %</w:t>
            </w:r>
          </w:p>
        </w:tc>
      </w:tr>
      <w:tr w:rsidR="00657236" w:rsidRPr="00180B8D" w14:paraId="446D311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FFE612" w14:textId="77777777" w:rsidR="00657236" w:rsidRPr="00180B8D" w:rsidRDefault="00D655E7">
            <w:pPr>
              <w:pStyle w:val="P68B1DB1-Normal2"/>
              <w:spacing w:after="0" w:line="240" w:lineRule="auto"/>
              <w:jc w:val="center"/>
              <w:rPr>
                <w:lang w:val="en-GB"/>
              </w:rPr>
            </w:pPr>
            <w:r w:rsidRPr="00180B8D">
              <w:rPr>
                <w:lang w:val="en-GB"/>
              </w:rPr>
              <w:t>16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2A23E4"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FDC7D" w14:textId="08B8D2EB" w:rsidR="00657236" w:rsidRPr="00180B8D" w:rsidRDefault="00D655E7">
            <w:pPr>
              <w:pStyle w:val="P68B1DB1-Normal2"/>
              <w:spacing w:after="0" w:line="240" w:lineRule="auto"/>
              <w:rPr>
                <w:lang w:val="en-GB"/>
              </w:rPr>
            </w:pPr>
            <w:r w:rsidRPr="00180B8D">
              <w:rPr>
                <w:lang w:val="en-GB"/>
              </w:rPr>
              <w:t>Basic materials, energy, industrial</w:t>
            </w:r>
            <w:r w:rsidR="00F96E77">
              <w:rPr>
                <w:lang w:val="en-GB"/>
              </w:rPr>
              <w:t>s</w:t>
            </w:r>
            <w:r w:rsidRPr="00180B8D">
              <w:rPr>
                <w:lang w:val="en-GB"/>
              </w:rPr>
              <w:t>, agriculture, manufacturing, mining and quarrying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AA683A" w14:textId="77777777" w:rsidR="00657236" w:rsidRPr="00180B8D" w:rsidRDefault="00D655E7">
            <w:pPr>
              <w:pStyle w:val="P68B1DB1-Normal2"/>
              <w:spacing w:after="0" w:line="240" w:lineRule="auto"/>
              <w:jc w:val="center"/>
              <w:rPr>
                <w:lang w:val="en-GB"/>
              </w:rPr>
            </w:pPr>
            <w:r w:rsidRPr="00180B8D">
              <w:rPr>
                <w:lang w:val="en-GB"/>
              </w:rPr>
              <w:t>7,0 %</w:t>
            </w:r>
          </w:p>
        </w:tc>
      </w:tr>
      <w:tr w:rsidR="00657236" w:rsidRPr="00180B8D" w14:paraId="76AAF3E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0220A5" w14:textId="77777777" w:rsidR="00657236" w:rsidRPr="00180B8D" w:rsidRDefault="00D655E7">
            <w:pPr>
              <w:pStyle w:val="P68B1DB1-Normal2"/>
              <w:spacing w:after="0" w:line="240" w:lineRule="auto"/>
              <w:jc w:val="center"/>
              <w:rPr>
                <w:lang w:val="en-GB"/>
              </w:rPr>
            </w:pPr>
            <w:r w:rsidRPr="00180B8D">
              <w:rPr>
                <w:lang w:val="en-GB"/>
              </w:rPr>
              <w:t>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8AB1E20"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F96B5" w14:textId="390C2B70" w:rsidR="00657236" w:rsidRPr="00180B8D" w:rsidRDefault="00D655E7">
            <w:pPr>
              <w:pStyle w:val="P68B1DB1-Normal2"/>
              <w:spacing w:after="0" w:line="240" w:lineRule="auto"/>
              <w:rPr>
                <w:lang w:val="en-GB"/>
              </w:rPr>
            </w:pPr>
            <w:r w:rsidRPr="00180B8D">
              <w:rPr>
                <w:lang w:val="en-GB"/>
              </w:rPr>
              <w:t xml:space="preserve">Consumer goods </w:t>
            </w:r>
            <w:r w:rsidRPr="00180B8D">
              <w:rPr>
                <w:lang w:val="en-GB"/>
              </w:rPr>
              <w:t>and services, transport</w:t>
            </w:r>
            <w:r w:rsidR="000D14F9">
              <w:rPr>
                <w:lang w:val="en-GB"/>
              </w:rPr>
              <w:t>ation</w:t>
            </w:r>
            <w:r w:rsidRPr="00180B8D">
              <w:rPr>
                <w:lang w:val="en-GB"/>
              </w:rPr>
              <w:t xml:space="preserve"> and storage, administrative and support </w:t>
            </w:r>
            <w:r w:rsidR="00E90355" w:rsidRPr="00180B8D">
              <w:rPr>
                <w:lang w:val="en-GB"/>
              </w:rPr>
              <w:t xml:space="preserve">service </w:t>
            </w:r>
            <w:r w:rsidRPr="00180B8D">
              <w:rPr>
                <w:lang w:val="en-GB"/>
              </w:rPr>
              <w:t>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355280" w14:textId="77777777" w:rsidR="00657236" w:rsidRPr="00180B8D" w:rsidRDefault="00D655E7">
            <w:pPr>
              <w:pStyle w:val="P68B1DB1-Normal2"/>
              <w:spacing w:after="0" w:line="240" w:lineRule="auto"/>
              <w:jc w:val="center"/>
              <w:rPr>
                <w:lang w:val="en-GB"/>
              </w:rPr>
            </w:pPr>
            <w:r w:rsidRPr="00180B8D">
              <w:rPr>
                <w:lang w:val="en-GB"/>
              </w:rPr>
              <w:t>8,5 %</w:t>
            </w:r>
          </w:p>
        </w:tc>
      </w:tr>
      <w:tr w:rsidR="00657236" w:rsidRPr="00180B8D" w14:paraId="76FCD13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5BEB6B" w14:textId="77777777" w:rsidR="00657236" w:rsidRPr="00180B8D" w:rsidRDefault="00D655E7">
            <w:pPr>
              <w:pStyle w:val="P68B1DB1-Normal2"/>
              <w:spacing w:after="0" w:line="240" w:lineRule="auto"/>
              <w:jc w:val="center"/>
              <w:rPr>
                <w:lang w:val="en-GB"/>
              </w:rPr>
            </w:pPr>
            <w:r w:rsidRPr="00180B8D">
              <w:rPr>
                <w:lang w:val="en-GB"/>
              </w:rPr>
              <w:t>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631D25"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1F3E6" w14:textId="77777777" w:rsidR="00657236" w:rsidRPr="00180B8D" w:rsidRDefault="00D655E7">
            <w:pPr>
              <w:pStyle w:val="P68B1DB1-Normal2"/>
              <w:spacing w:after="0" w:line="240" w:lineRule="auto"/>
              <w:rPr>
                <w:lang w:val="en-GB"/>
              </w:rPr>
            </w:pPr>
            <w:r w:rsidRPr="00180B8D">
              <w:rPr>
                <w:lang w:val="en-GB"/>
              </w:rPr>
              <w:t>Technology, telecommunications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6A820" w14:textId="77777777" w:rsidR="00657236" w:rsidRPr="00180B8D" w:rsidRDefault="00D655E7">
            <w:pPr>
              <w:pStyle w:val="P68B1DB1-Normal2"/>
              <w:spacing w:after="0" w:line="240" w:lineRule="auto"/>
              <w:jc w:val="center"/>
              <w:rPr>
                <w:lang w:val="en-GB"/>
              </w:rPr>
            </w:pPr>
            <w:r w:rsidRPr="00180B8D">
              <w:rPr>
                <w:lang w:val="en-GB"/>
              </w:rPr>
              <w:t>5,5 %</w:t>
            </w:r>
          </w:p>
        </w:tc>
      </w:tr>
      <w:tr w:rsidR="00657236" w:rsidRPr="00180B8D" w14:paraId="1C64EAC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F2A236" w14:textId="77777777" w:rsidR="00657236" w:rsidRPr="00180B8D" w:rsidRDefault="00D655E7">
            <w:pPr>
              <w:pStyle w:val="P68B1DB1-Normal2"/>
              <w:spacing w:after="0" w:line="240" w:lineRule="auto"/>
              <w:jc w:val="center"/>
              <w:rPr>
                <w:lang w:val="en-GB"/>
              </w:rPr>
            </w:pPr>
            <w:r w:rsidRPr="00180B8D">
              <w:rPr>
                <w:lang w:val="en-GB"/>
              </w:rPr>
              <w:t>19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645E83C"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EAE784" w14:textId="77777777" w:rsidR="00657236" w:rsidRPr="00180B8D" w:rsidRDefault="00D655E7">
            <w:pPr>
              <w:pStyle w:val="P68B1DB1-Normal2"/>
              <w:spacing w:after="0" w:line="240" w:lineRule="auto"/>
              <w:rPr>
                <w:lang w:val="en-GB"/>
              </w:rPr>
            </w:pPr>
            <w:r w:rsidRPr="00180B8D">
              <w:rPr>
                <w:lang w:val="en-GB"/>
              </w:rPr>
              <w:t>Health care, utilities, professional and technical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082C0" w14:textId="77777777" w:rsidR="00657236" w:rsidRPr="00180B8D" w:rsidRDefault="00D655E7">
            <w:pPr>
              <w:pStyle w:val="P68B1DB1-Normal2"/>
              <w:spacing w:after="0" w:line="240" w:lineRule="auto"/>
              <w:jc w:val="center"/>
              <w:rPr>
                <w:lang w:val="en-GB"/>
              </w:rPr>
            </w:pPr>
            <w:r w:rsidRPr="00180B8D">
              <w:rPr>
                <w:lang w:val="en-GB"/>
              </w:rPr>
              <w:t>5,0 %</w:t>
            </w:r>
          </w:p>
        </w:tc>
      </w:tr>
      <w:tr w:rsidR="00657236" w:rsidRPr="00180B8D" w14:paraId="35A0236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8E89E9" w14:textId="77777777" w:rsidR="00657236" w:rsidRPr="00180B8D" w:rsidRDefault="00D655E7">
            <w:pPr>
              <w:pStyle w:val="P68B1DB1-Normal2"/>
              <w:spacing w:after="0" w:line="240" w:lineRule="auto"/>
              <w:jc w:val="center"/>
              <w:rPr>
                <w:lang w:val="en-GB"/>
              </w:rPr>
            </w:pPr>
            <w:r w:rsidRPr="00180B8D">
              <w:rPr>
                <w:lang w:val="en-GB"/>
              </w:rPr>
              <w:t>20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54D9866"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DC31FC" w14:textId="77777777" w:rsidR="00657236" w:rsidRPr="00180B8D" w:rsidRDefault="00D655E7">
            <w:pPr>
              <w:pStyle w:val="P68B1DB1-Normal2"/>
              <w:spacing w:after="0" w:line="240" w:lineRule="auto"/>
              <w:rPr>
                <w:lang w:val="en-GB"/>
              </w:rPr>
            </w:pPr>
            <w:proofErr w:type="gramStart"/>
            <w:r w:rsidRPr="00180B8D">
              <w:rPr>
                <w:lang w:val="en-GB"/>
              </w:rPr>
              <w:t>Other</w:t>
            </w:r>
            <w:proofErr w:type="gramEnd"/>
            <w:r w:rsidRPr="00180B8D">
              <w:rPr>
                <w:lang w:val="en-GB"/>
              </w:rPr>
              <w:t xml:space="preserve"> sector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765B79" w14:textId="77777777" w:rsidR="00657236" w:rsidRPr="00180B8D" w:rsidRDefault="00D655E7">
            <w:pPr>
              <w:pStyle w:val="P68B1DB1-Normal2"/>
              <w:spacing w:after="0" w:line="240" w:lineRule="auto"/>
              <w:jc w:val="center"/>
              <w:rPr>
                <w:lang w:val="en-GB"/>
              </w:rPr>
            </w:pPr>
            <w:r w:rsidRPr="00180B8D">
              <w:rPr>
                <w:lang w:val="en-GB"/>
              </w:rPr>
              <w:t>12,0 %</w:t>
            </w:r>
          </w:p>
        </w:tc>
      </w:tr>
      <w:tr w:rsidR="00657236" w:rsidRPr="00180B8D" w14:paraId="76C5346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79DB70" w14:textId="77777777" w:rsidR="00657236" w:rsidRPr="00180B8D" w:rsidRDefault="00D655E7">
            <w:pPr>
              <w:pStyle w:val="P68B1DB1-Normal2"/>
              <w:spacing w:after="0" w:line="240" w:lineRule="auto"/>
              <w:jc w:val="center"/>
              <w:rPr>
                <w:lang w:val="en-GB"/>
              </w:rPr>
            </w:pPr>
            <w:r w:rsidRPr="00180B8D">
              <w:rPr>
                <w:lang w:val="en-GB"/>
              </w:rPr>
              <w:t>21</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E42F0D"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EDFDFC" w14:textId="77777777" w:rsidR="00657236" w:rsidRPr="00180B8D" w:rsidRDefault="00D655E7">
            <w:pPr>
              <w:pStyle w:val="P68B1DB1-Normal2"/>
              <w:spacing w:after="0" w:line="240" w:lineRule="auto"/>
              <w:rPr>
                <w:lang w:val="en-GB"/>
              </w:rPr>
            </w:pPr>
            <w:r w:rsidRPr="00180B8D">
              <w:rPr>
                <w:lang w:val="en-GB"/>
              </w:rPr>
              <w:t>Qualifying indices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35748E" w14:textId="77777777" w:rsidR="00657236" w:rsidRPr="00180B8D" w:rsidRDefault="00D655E7">
            <w:pPr>
              <w:pStyle w:val="P68B1DB1-Normal2"/>
              <w:spacing w:after="0" w:line="240" w:lineRule="auto"/>
              <w:jc w:val="center"/>
              <w:rPr>
                <w:lang w:val="en-GB"/>
              </w:rPr>
            </w:pPr>
            <w:r w:rsidRPr="00180B8D">
              <w:rPr>
                <w:lang w:val="en-GB"/>
              </w:rPr>
              <w:t>5,0 %</w:t>
            </w:r>
          </w:p>
        </w:tc>
      </w:tr>
    </w:tbl>
    <w:p w14:paraId="0678B5A1" w14:textId="77777777" w:rsidR="00657236" w:rsidRPr="00180B8D" w:rsidRDefault="00D655E7">
      <w:pPr>
        <w:pStyle w:val="P68B1DB1-Normal2"/>
        <w:spacing w:after="0" w:line="240" w:lineRule="auto"/>
        <w:ind w:firstLine="567"/>
        <w:jc w:val="both"/>
        <w:rPr>
          <w:lang w:val="en-GB"/>
        </w:rPr>
      </w:pPr>
      <w:r w:rsidRPr="00180B8D">
        <w:rPr>
          <w:lang w:val="en-GB"/>
        </w:rPr>
        <w:t> </w:t>
      </w:r>
    </w:p>
    <w:p w14:paraId="5FDCA359" w14:textId="6E967DFE" w:rsidR="00657236" w:rsidRPr="00180B8D" w:rsidRDefault="00D655E7">
      <w:pPr>
        <w:pStyle w:val="P68B1DB1-Normal2"/>
        <w:spacing w:after="0" w:line="240" w:lineRule="auto"/>
        <w:ind w:firstLine="567"/>
        <w:jc w:val="both"/>
        <w:rPr>
          <w:lang w:val="en-GB"/>
        </w:rPr>
      </w:pPr>
      <w:r w:rsidRPr="00180B8D">
        <w:rPr>
          <w:b/>
          <w:lang w:val="en-GB"/>
        </w:rPr>
        <w:t>86.</w:t>
      </w:r>
      <w:r w:rsidRPr="00180B8D">
        <w:rPr>
          <w:lang w:val="en-GB"/>
        </w:rPr>
        <w:t xml:space="preserve"> </w:t>
      </w:r>
      <w:r w:rsidRPr="001D6865">
        <w:rPr>
          <w:lang w:val="en-GB"/>
        </w:rPr>
        <w:t xml:space="preserve">Where there are no external ratings for a </w:t>
      </w:r>
      <w:r w:rsidR="00130C16" w:rsidRPr="001D6865">
        <w:t>specific </w:t>
      </w:r>
      <w:r w:rsidRPr="001D6865">
        <w:rPr>
          <w:lang w:val="en-GB"/>
        </w:rPr>
        <w:t xml:space="preserve">counterparty, banks may, subject to prior approval by the National Bank of Moldova, </w:t>
      </w:r>
      <w:r w:rsidR="001D6865" w:rsidRPr="001D6865">
        <w:t>map </w:t>
      </w:r>
      <w:r w:rsidRPr="001D6865">
        <w:rPr>
          <w:lang w:val="en-GB"/>
        </w:rPr>
        <w:t xml:space="preserve">the internal rating </w:t>
      </w:r>
      <w:r w:rsidR="001D6865" w:rsidRPr="001D6865">
        <w:rPr>
          <w:lang w:val="en-GB"/>
        </w:rPr>
        <w:t>to</w:t>
      </w:r>
      <w:r w:rsidRPr="001D6865">
        <w:rPr>
          <w:lang w:val="en-GB"/>
        </w:rPr>
        <w:t xml:space="preserve"> a corresponding external rating and assign a risk weight corresponding to</w:t>
      </w:r>
      <w:r w:rsidR="001D6865" w:rsidRPr="001D6865">
        <w:rPr>
          <w:lang w:val="en-GB"/>
        </w:rPr>
        <w:t xml:space="preserve"> </w:t>
      </w:r>
      <w:r w:rsidR="001D6865" w:rsidRPr="001D6865">
        <w:t>either</w:t>
      </w:r>
      <w:r w:rsidRPr="001D6865">
        <w:rPr>
          <w:lang w:val="en-GB"/>
        </w:rPr>
        <w:t xml:space="preserve"> credit quality steps 1 to 3 or credit quality steps 4 to 6. Otherwise, the risk weights for unrated exposures shall be applied.</w:t>
      </w:r>
    </w:p>
    <w:p w14:paraId="2E738093" w14:textId="150706CF" w:rsidR="00657236" w:rsidRPr="00180B8D" w:rsidRDefault="00D655E7">
      <w:pPr>
        <w:pStyle w:val="P68B1DB1-Normal2"/>
        <w:spacing w:after="0" w:line="240" w:lineRule="auto"/>
        <w:ind w:firstLine="567"/>
        <w:jc w:val="both"/>
        <w:rPr>
          <w:lang w:val="en-GB"/>
        </w:rPr>
      </w:pPr>
      <w:r w:rsidRPr="00180B8D">
        <w:rPr>
          <w:b/>
          <w:lang w:val="en-GB"/>
        </w:rPr>
        <w:t>87.</w:t>
      </w:r>
      <w:r w:rsidRPr="00180B8D">
        <w:rPr>
          <w:lang w:val="en-GB"/>
        </w:rPr>
        <w:t xml:space="preserve"> </w:t>
      </w:r>
      <w:r w:rsidR="001D6865" w:rsidRPr="001D6865">
        <w:t>To assign</w:t>
      </w:r>
      <w:r w:rsidR="001D6865" w:rsidRPr="001D6865">
        <w:rPr>
          <w:lang w:val="en-GB"/>
        </w:rPr>
        <w:t xml:space="preserve"> </w:t>
      </w:r>
      <w:r w:rsidRPr="00180B8D">
        <w:rPr>
          <w:lang w:val="en-GB"/>
        </w:rPr>
        <w:t xml:space="preserve">a risk exposure to a sector, banks </w:t>
      </w:r>
      <w:r w:rsidR="001D6865">
        <w:rPr>
          <w:lang w:val="en-GB"/>
        </w:rPr>
        <w:t xml:space="preserve">shall </w:t>
      </w:r>
      <w:r w:rsidRPr="00180B8D">
        <w:rPr>
          <w:lang w:val="en-GB"/>
        </w:rPr>
        <w:t xml:space="preserve">rely on a classification that is commonly used in the market </w:t>
      </w:r>
      <w:r w:rsidR="001D6865">
        <w:rPr>
          <w:lang w:val="en-GB"/>
        </w:rPr>
        <w:t>for</w:t>
      </w:r>
      <w:r w:rsidRPr="00180B8D">
        <w:rPr>
          <w:lang w:val="en-GB"/>
        </w:rPr>
        <w:t xml:space="preserve"> </w:t>
      </w:r>
      <w:r w:rsidR="001D6865" w:rsidRPr="001D6865">
        <w:t>grouping </w:t>
      </w:r>
      <w:r w:rsidRPr="00180B8D">
        <w:rPr>
          <w:lang w:val="en-GB"/>
        </w:rPr>
        <w:t xml:space="preserve">issuers by sector. Banks shall assign each issuer to </w:t>
      </w:r>
      <w:r w:rsidR="001D6865" w:rsidRPr="001D6865">
        <w:t>only one</w:t>
      </w:r>
      <w:r w:rsidR="001D6865" w:rsidRPr="001D6865">
        <w:rPr>
          <w:lang w:val="en-GB"/>
        </w:rPr>
        <w:t xml:space="preserve"> </w:t>
      </w:r>
      <w:r w:rsidR="001D6865">
        <w:rPr>
          <w:lang w:val="en-GB"/>
        </w:rPr>
        <w:t xml:space="preserve">of the </w:t>
      </w:r>
      <w:r w:rsidRPr="00180B8D">
        <w:rPr>
          <w:lang w:val="en-GB"/>
        </w:rPr>
        <w:t xml:space="preserve">sector </w:t>
      </w:r>
      <w:r w:rsidR="001D6865" w:rsidRPr="00180B8D">
        <w:rPr>
          <w:lang w:val="en-GB"/>
        </w:rPr>
        <w:t>buckets</w:t>
      </w:r>
      <w:r w:rsidRPr="00180B8D">
        <w:rPr>
          <w:lang w:val="en-GB"/>
        </w:rPr>
        <w:t xml:space="preserve"> set out in Table 3. Risk exposures from any issuer that the bank cannot assign to a sector </w:t>
      </w:r>
      <w:r w:rsidR="001D6865" w:rsidRPr="001D6865">
        <w:rPr>
          <w:lang w:val="en-GB"/>
        </w:rPr>
        <w:t xml:space="preserve">in such a manner </w:t>
      </w:r>
      <w:r w:rsidRPr="00180B8D">
        <w:rPr>
          <w:lang w:val="en-GB"/>
        </w:rPr>
        <w:t>shall be assigned to either bucket 11 or bucket 20 of Table 3, depending on the credit quality of the issuer.</w:t>
      </w:r>
    </w:p>
    <w:p w14:paraId="201848D1" w14:textId="25746822" w:rsidR="00657236" w:rsidRPr="00180B8D" w:rsidRDefault="00D655E7">
      <w:pPr>
        <w:pStyle w:val="P68B1DB1-Normal2"/>
        <w:spacing w:after="0" w:line="240" w:lineRule="auto"/>
        <w:ind w:firstLine="567"/>
        <w:jc w:val="both"/>
        <w:rPr>
          <w:lang w:val="en-GB"/>
        </w:rPr>
      </w:pPr>
      <w:r w:rsidRPr="00180B8D">
        <w:rPr>
          <w:b/>
          <w:lang w:val="en-GB"/>
        </w:rPr>
        <w:t>88.</w:t>
      </w:r>
      <w:r w:rsidRPr="00180B8D">
        <w:rPr>
          <w:lang w:val="en-GB"/>
        </w:rPr>
        <w:t xml:space="preserve"> Banks shall assign to buckets 12 and 21 of Table 3 only exposures that re</w:t>
      </w:r>
      <w:r w:rsidR="001D6865">
        <w:rPr>
          <w:lang w:val="en-GB"/>
        </w:rPr>
        <w:t>ference</w:t>
      </w:r>
      <w:r w:rsidRPr="00180B8D">
        <w:rPr>
          <w:lang w:val="en-GB"/>
        </w:rPr>
        <w:t xml:space="preserve"> </w:t>
      </w:r>
      <w:r w:rsidR="001D6865" w:rsidRPr="00180B8D">
        <w:rPr>
          <w:lang w:val="en-GB"/>
        </w:rPr>
        <w:t xml:space="preserve">qualified indices </w:t>
      </w:r>
      <w:r w:rsidR="001D6865">
        <w:rPr>
          <w:lang w:val="en-GB"/>
        </w:rPr>
        <w:t xml:space="preserve">as referred </w:t>
      </w:r>
      <w:r w:rsidRPr="00180B8D">
        <w:rPr>
          <w:lang w:val="en-GB"/>
        </w:rPr>
        <w:t>to in paragraph 33.</w:t>
      </w:r>
    </w:p>
    <w:p w14:paraId="5EAE435B" w14:textId="77777777" w:rsidR="00657236" w:rsidRPr="00180B8D" w:rsidRDefault="00D655E7">
      <w:pPr>
        <w:pStyle w:val="P68B1DB1-Normal2"/>
        <w:spacing w:after="0" w:line="240" w:lineRule="auto"/>
        <w:ind w:firstLine="567"/>
        <w:jc w:val="both"/>
        <w:rPr>
          <w:lang w:val="en-GB"/>
        </w:rPr>
      </w:pPr>
      <w:r w:rsidRPr="00180B8D">
        <w:rPr>
          <w:b/>
          <w:lang w:val="en-GB"/>
        </w:rPr>
        <w:t>89.</w:t>
      </w:r>
      <w:r w:rsidRPr="00180B8D">
        <w:rPr>
          <w:lang w:val="en-GB"/>
        </w:rPr>
        <w:t xml:space="preserve"> Banks shall use a </w:t>
      </w:r>
      <w:r w:rsidRPr="00180B8D">
        <w:rPr>
          <w:i/>
          <w:lang w:val="en-GB"/>
        </w:rPr>
        <w:t>look-through</w:t>
      </w:r>
      <w:r w:rsidRPr="00180B8D">
        <w:rPr>
          <w:lang w:val="en-GB"/>
        </w:rPr>
        <w:t xml:space="preserve"> approach to determine the sensitivities of an exposure referencing a non-qualified index.</w:t>
      </w:r>
    </w:p>
    <w:p w14:paraId="5E5AD432" w14:textId="77777777" w:rsidR="00657236" w:rsidRPr="00180B8D" w:rsidRDefault="00D655E7">
      <w:pPr>
        <w:pStyle w:val="P68B1DB1-Normal2"/>
        <w:spacing w:after="0" w:line="240" w:lineRule="auto"/>
        <w:ind w:firstLine="567"/>
        <w:jc w:val="both"/>
        <w:rPr>
          <w:lang w:val="en-GB"/>
        </w:rPr>
      </w:pPr>
      <w:r w:rsidRPr="00180B8D">
        <w:rPr>
          <w:lang w:val="en-GB"/>
        </w:rPr>
        <w:t> </w:t>
      </w:r>
    </w:p>
    <w:p w14:paraId="5D8B6FB5" w14:textId="77777777" w:rsidR="00657236" w:rsidRPr="00180B8D" w:rsidRDefault="00D655E7">
      <w:pPr>
        <w:pStyle w:val="P68B1DB1-Normal3"/>
        <w:spacing w:after="0" w:line="240" w:lineRule="auto"/>
        <w:jc w:val="center"/>
        <w:rPr>
          <w:lang w:val="en-GB"/>
        </w:rPr>
      </w:pPr>
      <w:r w:rsidRPr="00180B8D">
        <w:rPr>
          <w:lang w:val="en-GB"/>
        </w:rPr>
        <w:t>Section 16</w:t>
      </w:r>
    </w:p>
    <w:p w14:paraId="49496206" w14:textId="77777777" w:rsidR="00657236" w:rsidRPr="00180B8D" w:rsidRDefault="00D655E7">
      <w:pPr>
        <w:pStyle w:val="P68B1DB1-Normal3"/>
        <w:spacing w:after="0" w:line="240" w:lineRule="auto"/>
        <w:jc w:val="center"/>
        <w:rPr>
          <w:lang w:val="en-GB"/>
        </w:rPr>
      </w:pPr>
      <w:r w:rsidRPr="00180B8D">
        <w:rPr>
          <w:lang w:val="en-GB"/>
        </w:rPr>
        <w:t>Intra-bucket correlations for counterparty credit spread risk</w:t>
      </w:r>
    </w:p>
    <w:p w14:paraId="1F424FE8" w14:textId="0F5627D0" w:rsidR="00657236" w:rsidRPr="00180B8D" w:rsidRDefault="00D655E7">
      <w:pPr>
        <w:pStyle w:val="P68B1DB1-Normal3"/>
        <w:spacing w:after="0" w:line="240" w:lineRule="auto"/>
        <w:jc w:val="center"/>
        <w:rPr>
          <w:lang w:val="en-GB"/>
        </w:rPr>
      </w:pPr>
      <w:r w:rsidRPr="00180B8D">
        <w:rPr>
          <w:lang w:val="en-GB"/>
        </w:rPr>
        <w:t xml:space="preserve">and </w:t>
      </w:r>
      <w:r w:rsidR="00821DB7">
        <w:rPr>
          <w:bCs/>
        </w:rPr>
        <w:t>c</w:t>
      </w:r>
      <w:r w:rsidR="00821DB7" w:rsidRPr="00821DB7">
        <w:rPr>
          <w:bCs/>
        </w:rPr>
        <w:t>orrelations across buckets for counterparty credit spread risk</w:t>
      </w:r>
      <w:r w:rsidR="00821DB7" w:rsidRPr="00821DB7">
        <w:rPr>
          <w:lang w:val="en-GB"/>
        </w:rPr>
        <w:t xml:space="preserve"> </w:t>
      </w:r>
    </w:p>
    <w:p w14:paraId="4E0034F2" w14:textId="098C34E6" w:rsidR="00657236" w:rsidRPr="00180B8D" w:rsidRDefault="00D655E7">
      <w:pPr>
        <w:pStyle w:val="P68B1DB1-Normal2"/>
        <w:spacing w:after="0" w:line="240" w:lineRule="auto"/>
        <w:ind w:firstLine="567"/>
        <w:jc w:val="both"/>
        <w:rPr>
          <w:lang w:val="en-GB"/>
        </w:rPr>
      </w:pPr>
      <w:r w:rsidRPr="00180B8D">
        <w:rPr>
          <w:b/>
          <w:lang w:val="en-GB"/>
        </w:rPr>
        <w:lastRenderedPageBreak/>
        <w:t>90.</w:t>
      </w:r>
      <w:r w:rsidRPr="00180B8D">
        <w:rPr>
          <w:lang w:val="en-GB"/>
        </w:rPr>
        <w:t xml:space="preserve"> Between two sensitivities </w:t>
      </w:r>
      <w:proofErr w:type="spellStart"/>
      <w:r w:rsidRPr="00180B8D">
        <w:rPr>
          <w:i/>
          <w:lang w:val="en-GB"/>
        </w:rPr>
        <w:t>WS</w:t>
      </w:r>
      <w:r w:rsidRPr="00180B8D">
        <w:rPr>
          <w:i/>
          <w:vertAlign w:val="subscript"/>
          <w:lang w:val="en-GB"/>
        </w:rPr>
        <w:t>k</w:t>
      </w:r>
      <w:proofErr w:type="spellEnd"/>
      <w:r w:rsidRPr="00180B8D">
        <w:rPr>
          <w:lang w:val="en-GB"/>
        </w:rPr>
        <w:t xml:space="preserve"> and </w:t>
      </w:r>
      <w:proofErr w:type="spellStart"/>
      <w:proofErr w:type="gramStart"/>
      <w:r w:rsidRPr="00180B8D">
        <w:rPr>
          <w:i/>
          <w:lang w:val="en-GB"/>
        </w:rPr>
        <w:t>WS</w:t>
      </w:r>
      <w:r w:rsidRPr="00180B8D">
        <w:rPr>
          <w:i/>
          <w:vertAlign w:val="subscript"/>
          <w:lang w:val="en-GB"/>
        </w:rPr>
        <w:t>l</w:t>
      </w:r>
      <w:proofErr w:type="spellEnd"/>
      <w:r w:rsidRPr="00180B8D">
        <w:rPr>
          <w:lang w:val="en-GB"/>
        </w:rPr>
        <w:t xml:space="preserve"> ,</w:t>
      </w:r>
      <w:proofErr w:type="gramEnd"/>
      <w:r w:rsidRPr="00180B8D">
        <w:rPr>
          <w:lang w:val="en-GB"/>
        </w:rPr>
        <w:t xml:space="preserve"> </w:t>
      </w:r>
      <w:r w:rsidR="00821DB7" w:rsidRPr="00821DB7">
        <w:t>resulting </w:t>
      </w:r>
      <w:r w:rsidRPr="00180B8D">
        <w:rPr>
          <w:lang w:val="en-GB"/>
        </w:rPr>
        <w:t>from risk exposures assigned to sector buckets 1</w:t>
      </w:r>
      <w:r w:rsidR="00821DB7">
        <w:rPr>
          <w:lang w:val="en-GB"/>
        </w:rPr>
        <w:t xml:space="preserve"> to </w:t>
      </w:r>
      <w:r w:rsidRPr="00180B8D">
        <w:rPr>
          <w:lang w:val="en-GB"/>
        </w:rPr>
        <w:t>11 and 13</w:t>
      </w:r>
      <w:r w:rsidR="00821DB7">
        <w:rPr>
          <w:lang w:val="en-GB"/>
        </w:rPr>
        <w:t xml:space="preserve"> to </w:t>
      </w:r>
      <w:r w:rsidRPr="00180B8D">
        <w:rPr>
          <w:lang w:val="en-GB"/>
        </w:rPr>
        <w:t xml:space="preserve">20, as set out in paragraphs 85 and 86, the correlation parameter </w:t>
      </w:r>
      <w:proofErr w:type="spellStart"/>
      <w:r w:rsidRPr="00180B8D">
        <w:rPr>
          <w:i/>
          <w:lang w:val="en-GB"/>
        </w:rPr>
        <w:t>ρ</w:t>
      </w:r>
      <w:r w:rsidRPr="00180B8D">
        <w:rPr>
          <w:i/>
          <w:vertAlign w:val="subscript"/>
          <w:lang w:val="en-GB"/>
        </w:rPr>
        <w:t>kl</w:t>
      </w:r>
      <w:proofErr w:type="spellEnd"/>
      <w:r w:rsidRPr="00180B8D">
        <w:rPr>
          <w:lang w:val="en-GB"/>
        </w:rPr>
        <w:t xml:space="preserve"> </w:t>
      </w:r>
      <w:r w:rsidR="00821DB7">
        <w:rPr>
          <w:lang w:val="en-GB"/>
        </w:rPr>
        <w:t>shall be</w:t>
      </w:r>
      <w:r w:rsidRPr="00180B8D">
        <w:rPr>
          <w:lang w:val="en-GB"/>
        </w:rPr>
        <w:t xml:space="preserve"> set as follows:</w:t>
      </w:r>
    </w:p>
    <w:p w14:paraId="78FC148F" w14:textId="77777777" w:rsidR="00657236" w:rsidRPr="00180B8D" w:rsidRDefault="00D655E7">
      <w:pPr>
        <w:pStyle w:val="P68B1DB1-Normal2"/>
        <w:spacing w:after="0" w:line="240" w:lineRule="auto"/>
        <w:ind w:firstLine="567"/>
        <w:jc w:val="both"/>
        <w:rPr>
          <w:lang w:val="en-GB"/>
        </w:rPr>
      </w:pPr>
      <w:r w:rsidRPr="00180B8D">
        <w:rPr>
          <w:lang w:val="en-GB"/>
        </w:rPr>
        <w:t> </w:t>
      </w:r>
    </w:p>
    <w:p w14:paraId="79AD9A52" w14:textId="2F6979A7" w:rsidR="00657236" w:rsidRPr="00180B8D" w:rsidRDefault="00821DB7">
      <w:pPr>
        <w:pStyle w:val="P68B1DB1-Normal2"/>
        <w:spacing w:after="0" w:line="240" w:lineRule="auto"/>
        <w:jc w:val="center"/>
        <w:rPr>
          <w:lang w:val="en-GB"/>
        </w:rPr>
      </w:pPr>
      <w:r w:rsidRPr="00821DB7">
        <w:t xml:space="preserve"> </w:t>
      </w:r>
      <w:r>
        <w:rPr>
          <w:noProof/>
        </w:rPr>
        <w:drawing>
          <wp:inline distT="0" distB="0" distL="0" distR="0" wp14:anchorId="1EB252C9" wp14:editId="3F23FB67">
            <wp:extent cx="2635564" cy="310294"/>
            <wp:effectExtent l="0" t="0" r="0" b="0"/>
            <wp:docPr id="1726496905"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59285" cy="313087"/>
                    </a:xfrm>
                    <a:prstGeom prst="rect">
                      <a:avLst/>
                    </a:prstGeom>
                    <a:noFill/>
                    <a:ln>
                      <a:noFill/>
                    </a:ln>
                  </pic:spPr>
                </pic:pic>
              </a:graphicData>
            </a:graphic>
          </wp:inline>
        </w:drawing>
      </w:r>
    </w:p>
    <w:p w14:paraId="14063D0B" w14:textId="77777777" w:rsidR="00657236" w:rsidRPr="00180B8D" w:rsidRDefault="00D655E7">
      <w:pPr>
        <w:pStyle w:val="P68B1DB1-Normal2"/>
        <w:spacing w:after="0" w:line="240" w:lineRule="auto"/>
        <w:ind w:firstLine="567"/>
        <w:jc w:val="both"/>
        <w:rPr>
          <w:lang w:val="en-GB"/>
        </w:rPr>
      </w:pPr>
      <w:r w:rsidRPr="00180B8D">
        <w:rPr>
          <w:lang w:val="en-GB"/>
        </w:rPr>
        <w:t>where:</w:t>
      </w:r>
    </w:p>
    <w:tbl>
      <w:tblPr>
        <w:tblW w:w="4500" w:type="pct"/>
        <w:jc w:val="center"/>
        <w:tblCellMar>
          <w:top w:w="15" w:type="dxa"/>
          <w:left w:w="15" w:type="dxa"/>
          <w:bottom w:w="15" w:type="dxa"/>
          <w:right w:w="15" w:type="dxa"/>
        </w:tblCellMar>
        <w:tblLook w:val="04A0" w:firstRow="1" w:lastRow="0" w:firstColumn="1" w:lastColumn="0" w:noHBand="0" w:noVBand="1"/>
      </w:tblPr>
      <w:tblGrid>
        <w:gridCol w:w="998"/>
        <w:gridCol w:w="7422"/>
      </w:tblGrid>
      <w:tr w:rsidR="00657236" w:rsidRPr="00180B8D" w14:paraId="0FF7A44B" w14:textId="77777777">
        <w:trPr>
          <w:jc w:val="center"/>
        </w:trPr>
        <w:tc>
          <w:tcPr>
            <w:tcW w:w="0" w:type="auto"/>
            <w:tcBorders>
              <w:top w:val="nil"/>
              <w:left w:val="nil"/>
              <w:bottom w:val="nil"/>
              <w:right w:val="nil"/>
            </w:tcBorders>
            <w:tcMar>
              <w:top w:w="24" w:type="dxa"/>
              <w:left w:w="48" w:type="dxa"/>
              <w:bottom w:w="24" w:type="dxa"/>
              <w:right w:w="48" w:type="dxa"/>
            </w:tcMar>
            <w:hideMark/>
          </w:tcPr>
          <w:p w14:paraId="4E608F36" w14:textId="5A71C249" w:rsidR="00657236" w:rsidRPr="00180B8D" w:rsidRDefault="00821DB7">
            <w:pPr>
              <w:pStyle w:val="P68B1DB1-Normal2"/>
              <w:spacing w:after="0" w:line="240" w:lineRule="auto"/>
              <w:rPr>
                <w:lang w:val="en-GB"/>
              </w:rPr>
            </w:pPr>
            <w:r>
              <w:rPr>
                <w:noProof/>
              </w:rPr>
              <w:drawing>
                <wp:inline distT="0" distB="0" distL="0" distR="0" wp14:anchorId="47962A1C" wp14:editId="2D8414F0">
                  <wp:extent cx="508635" cy="254635"/>
                  <wp:effectExtent l="0" t="0" r="5715" b="0"/>
                  <wp:docPr id="1645421677"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08635" cy="25463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6962D7A4" w14:textId="77777777" w:rsidR="00657236" w:rsidRPr="00180B8D" w:rsidRDefault="00D655E7">
            <w:pPr>
              <w:pStyle w:val="P68B1DB1-Normal2"/>
              <w:spacing w:after="0" w:line="240" w:lineRule="auto"/>
              <w:rPr>
                <w:lang w:val="en-GB"/>
              </w:rPr>
            </w:pPr>
            <w:r w:rsidRPr="00180B8D">
              <w:rPr>
                <w:lang w:val="en-GB"/>
              </w:rPr>
              <w:t xml:space="preserve">shall be equal to 1 where the two sensitivities k and l are identical, otherwise it shall be equal to </w:t>
            </w:r>
            <w:proofErr w:type="gramStart"/>
            <w:r w:rsidRPr="00180B8D">
              <w:rPr>
                <w:lang w:val="en-GB"/>
              </w:rPr>
              <w:t>90 %;</w:t>
            </w:r>
            <w:proofErr w:type="gramEnd"/>
          </w:p>
        </w:tc>
      </w:tr>
      <w:tr w:rsidR="00657236" w:rsidRPr="00180B8D" w14:paraId="47AC091E" w14:textId="77777777">
        <w:trPr>
          <w:jc w:val="center"/>
        </w:trPr>
        <w:tc>
          <w:tcPr>
            <w:tcW w:w="0" w:type="auto"/>
            <w:tcBorders>
              <w:top w:val="nil"/>
              <w:left w:val="nil"/>
              <w:bottom w:val="nil"/>
              <w:right w:val="nil"/>
            </w:tcBorders>
            <w:tcMar>
              <w:top w:w="24" w:type="dxa"/>
              <w:left w:w="48" w:type="dxa"/>
              <w:bottom w:w="24" w:type="dxa"/>
              <w:right w:w="48" w:type="dxa"/>
            </w:tcMar>
            <w:hideMark/>
          </w:tcPr>
          <w:p w14:paraId="2A66926F" w14:textId="2AE99975" w:rsidR="00657236" w:rsidRPr="00180B8D" w:rsidRDefault="00821DB7">
            <w:pPr>
              <w:pStyle w:val="P68B1DB1-Normal2"/>
              <w:spacing w:after="0" w:line="240" w:lineRule="auto"/>
              <w:rPr>
                <w:lang w:val="en-GB"/>
              </w:rPr>
            </w:pPr>
            <w:r>
              <w:rPr>
                <w:noProof/>
              </w:rPr>
              <w:drawing>
                <wp:inline distT="0" distB="0" distL="0" distR="0" wp14:anchorId="705C2E86" wp14:editId="24ECDA6C">
                  <wp:extent cx="540385" cy="254635"/>
                  <wp:effectExtent l="0" t="0" r="0" b="0"/>
                  <wp:docPr id="238207772"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0385" cy="25463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3C0C8736" w14:textId="6AE49334" w:rsidR="00657236" w:rsidRPr="00180B8D" w:rsidRDefault="00D655E7">
            <w:pPr>
              <w:pStyle w:val="P68B1DB1-Normal2"/>
              <w:spacing w:after="0" w:line="240" w:lineRule="auto"/>
              <w:rPr>
                <w:lang w:val="en-GB"/>
              </w:rPr>
            </w:pPr>
            <w:r w:rsidRPr="00180B8D">
              <w:rPr>
                <w:lang w:val="en-GB"/>
              </w:rPr>
              <w:t xml:space="preserve">shall be equal to 1 where the two names of sensitivities k and l are identical, 90 % </w:t>
            </w:r>
            <w:r w:rsidR="00821DB7">
              <w:rPr>
                <w:lang w:val="en-GB"/>
              </w:rPr>
              <w:t>if</w:t>
            </w:r>
            <w:r w:rsidRPr="00180B8D">
              <w:rPr>
                <w:lang w:val="en-GB"/>
              </w:rPr>
              <w:t xml:space="preserve"> the two names are distinct but legally </w:t>
            </w:r>
            <w:r w:rsidR="00821DB7">
              <w:rPr>
                <w:lang w:val="en-GB"/>
              </w:rPr>
              <w:t>related</w:t>
            </w:r>
            <w:r w:rsidRPr="00180B8D">
              <w:rPr>
                <w:lang w:val="en-GB"/>
              </w:rPr>
              <w:t xml:space="preserve">, otherwise it shall be equal to </w:t>
            </w:r>
            <w:proofErr w:type="gramStart"/>
            <w:r w:rsidRPr="00180B8D">
              <w:rPr>
                <w:lang w:val="en-GB"/>
              </w:rPr>
              <w:t>50 %;</w:t>
            </w:r>
            <w:proofErr w:type="gramEnd"/>
          </w:p>
        </w:tc>
      </w:tr>
      <w:tr w:rsidR="00657236" w:rsidRPr="00180B8D" w14:paraId="57948427" w14:textId="77777777">
        <w:trPr>
          <w:jc w:val="center"/>
        </w:trPr>
        <w:tc>
          <w:tcPr>
            <w:tcW w:w="0" w:type="auto"/>
            <w:tcBorders>
              <w:top w:val="nil"/>
              <w:left w:val="nil"/>
              <w:bottom w:val="nil"/>
              <w:right w:val="nil"/>
            </w:tcBorders>
            <w:tcMar>
              <w:top w:w="24" w:type="dxa"/>
              <w:left w:w="48" w:type="dxa"/>
              <w:bottom w:w="24" w:type="dxa"/>
              <w:right w:w="48" w:type="dxa"/>
            </w:tcMar>
            <w:hideMark/>
          </w:tcPr>
          <w:p w14:paraId="2DE6B052" w14:textId="6946D627" w:rsidR="00657236" w:rsidRPr="00180B8D" w:rsidRDefault="00821DB7">
            <w:pPr>
              <w:pStyle w:val="P68B1DB1-Normal2"/>
              <w:spacing w:after="0" w:line="240" w:lineRule="auto"/>
              <w:rPr>
                <w:lang w:val="en-GB"/>
              </w:rPr>
            </w:pPr>
            <w:r>
              <w:rPr>
                <w:noProof/>
              </w:rPr>
              <w:drawing>
                <wp:inline distT="0" distB="0" distL="0" distR="0" wp14:anchorId="4FD8965F" wp14:editId="344DBA32">
                  <wp:extent cx="572770" cy="254635"/>
                  <wp:effectExtent l="0" t="0" r="0" b="0"/>
                  <wp:docPr id="110946839"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2770" cy="25463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06070D43" w14:textId="77777777" w:rsidR="00657236" w:rsidRPr="00180B8D" w:rsidRDefault="00D655E7">
            <w:pPr>
              <w:pStyle w:val="P68B1DB1-Normal2"/>
              <w:spacing w:after="0" w:line="240" w:lineRule="auto"/>
              <w:rPr>
                <w:lang w:val="en-GB"/>
              </w:rPr>
            </w:pPr>
            <w:r w:rsidRPr="00180B8D">
              <w:rPr>
                <w:lang w:val="en-GB"/>
              </w:rPr>
              <w:t xml:space="preserve">shall be equal to 1 where the two names are both in buckets 1 to 11 </w:t>
            </w:r>
            <w:proofErr w:type="gramStart"/>
            <w:r w:rsidRPr="00180B8D">
              <w:rPr>
                <w:lang w:val="en-GB"/>
              </w:rPr>
              <w:t>or</w:t>
            </w:r>
            <w:proofErr w:type="gramEnd"/>
            <w:r w:rsidRPr="00180B8D">
              <w:rPr>
                <w:lang w:val="en-GB"/>
              </w:rPr>
              <w:t xml:space="preserve"> are both in buckets 13 to 20, otherwise it shall be equal to 80 %.</w:t>
            </w:r>
          </w:p>
        </w:tc>
      </w:tr>
    </w:tbl>
    <w:p w14:paraId="779EAA93" w14:textId="77777777" w:rsidR="00657236" w:rsidRPr="00180B8D" w:rsidRDefault="00D655E7">
      <w:pPr>
        <w:pStyle w:val="P68B1DB1-Normal2"/>
        <w:spacing w:after="0" w:line="240" w:lineRule="auto"/>
        <w:ind w:firstLine="567"/>
        <w:jc w:val="both"/>
        <w:rPr>
          <w:lang w:val="en-GB"/>
        </w:rPr>
      </w:pPr>
      <w:r w:rsidRPr="00180B8D">
        <w:rPr>
          <w:lang w:val="en-GB"/>
        </w:rPr>
        <w:t> </w:t>
      </w:r>
    </w:p>
    <w:p w14:paraId="1D02C483" w14:textId="102AB978" w:rsidR="00657236" w:rsidRPr="00180B8D" w:rsidRDefault="00D655E7">
      <w:pPr>
        <w:pStyle w:val="P68B1DB1-Normal2"/>
        <w:spacing w:after="0" w:line="240" w:lineRule="auto"/>
        <w:ind w:firstLine="567"/>
        <w:jc w:val="both"/>
        <w:rPr>
          <w:lang w:val="en-GB"/>
        </w:rPr>
      </w:pPr>
      <w:r w:rsidRPr="00180B8D">
        <w:rPr>
          <w:b/>
          <w:lang w:val="en-GB"/>
        </w:rPr>
        <w:t>91.</w:t>
      </w:r>
      <w:r w:rsidRPr="00180B8D">
        <w:rPr>
          <w:lang w:val="en-GB"/>
        </w:rPr>
        <w:t xml:space="preserve"> Between two sensitivities </w:t>
      </w:r>
      <w:proofErr w:type="spellStart"/>
      <w:r w:rsidRPr="00180B8D">
        <w:rPr>
          <w:i/>
          <w:lang w:val="en-GB"/>
        </w:rPr>
        <w:t>WS</w:t>
      </w:r>
      <w:r w:rsidRPr="00180B8D">
        <w:rPr>
          <w:i/>
          <w:vertAlign w:val="subscript"/>
          <w:lang w:val="en-GB"/>
        </w:rPr>
        <w:t>k</w:t>
      </w:r>
      <w:proofErr w:type="spellEnd"/>
      <w:r w:rsidRPr="00180B8D">
        <w:rPr>
          <w:lang w:val="en-GB"/>
        </w:rPr>
        <w:t xml:space="preserve"> and </w:t>
      </w:r>
      <w:proofErr w:type="spellStart"/>
      <w:r w:rsidRPr="00180B8D">
        <w:rPr>
          <w:i/>
          <w:lang w:val="en-GB"/>
        </w:rPr>
        <w:t>WS</w:t>
      </w:r>
      <w:r w:rsidRPr="00180B8D">
        <w:rPr>
          <w:i/>
          <w:vertAlign w:val="subscript"/>
          <w:lang w:val="en-GB"/>
        </w:rPr>
        <w:t>l</w:t>
      </w:r>
      <w:proofErr w:type="spellEnd"/>
      <w:r w:rsidRPr="00180B8D">
        <w:rPr>
          <w:lang w:val="en-GB"/>
        </w:rPr>
        <w:t xml:space="preserve"> </w:t>
      </w:r>
      <w:proofErr w:type="gramStart"/>
      <w:r w:rsidR="00821DB7" w:rsidRPr="00821DB7">
        <w:t>resulting </w:t>
      </w:r>
      <w:r w:rsidR="00821DB7" w:rsidRPr="00821DB7">
        <w:rPr>
          <w:lang w:val="en-GB"/>
        </w:rPr>
        <w:t xml:space="preserve"> </w:t>
      </w:r>
      <w:r w:rsidRPr="00180B8D">
        <w:rPr>
          <w:lang w:val="en-GB"/>
        </w:rPr>
        <w:t>from</w:t>
      </w:r>
      <w:proofErr w:type="gramEnd"/>
      <w:r w:rsidRPr="00180B8D">
        <w:rPr>
          <w:lang w:val="en-GB"/>
        </w:rPr>
        <w:t xml:space="preserve"> risk exposures assigned to sector buckets 12 and 21, the correlation parameter </w:t>
      </w:r>
      <w:proofErr w:type="spellStart"/>
      <w:r w:rsidRPr="00180B8D">
        <w:rPr>
          <w:i/>
          <w:lang w:val="en-GB"/>
        </w:rPr>
        <w:t>ρ</w:t>
      </w:r>
      <w:r w:rsidRPr="00180B8D">
        <w:rPr>
          <w:i/>
          <w:vertAlign w:val="subscript"/>
          <w:lang w:val="en-GB"/>
        </w:rPr>
        <w:t>kl</w:t>
      </w:r>
      <w:proofErr w:type="spellEnd"/>
      <w:r w:rsidRPr="00180B8D">
        <w:rPr>
          <w:lang w:val="en-GB"/>
        </w:rPr>
        <w:t xml:space="preserve"> is set as follows:</w:t>
      </w:r>
    </w:p>
    <w:p w14:paraId="0E3999DA" w14:textId="77777777" w:rsidR="00657236" w:rsidRPr="00180B8D" w:rsidRDefault="00D655E7">
      <w:pPr>
        <w:pStyle w:val="P68B1DB1-Normal2"/>
        <w:spacing w:after="0" w:line="240" w:lineRule="auto"/>
        <w:ind w:firstLine="567"/>
        <w:jc w:val="both"/>
        <w:rPr>
          <w:lang w:val="en-GB"/>
        </w:rPr>
      </w:pPr>
      <w:r w:rsidRPr="00180B8D">
        <w:rPr>
          <w:lang w:val="en-GB"/>
        </w:rPr>
        <w:t> </w:t>
      </w:r>
    </w:p>
    <w:p w14:paraId="52D005E1" w14:textId="479C9DDE" w:rsidR="00657236" w:rsidRPr="00180B8D" w:rsidRDefault="00821DB7">
      <w:pPr>
        <w:pStyle w:val="P68B1DB1-Normal2"/>
        <w:spacing w:after="0" w:line="240" w:lineRule="auto"/>
        <w:jc w:val="center"/>
        <w:rPr>
          <w:lang w:val="en-GB"/>
        </w:rPr>
      </w:pPr>
      <w:r w:rsidRPr="00821DB7">
        <w:t xml:space="preserve"> </w:t>
      </w:r>
      <w:r>
        <w:rPr>
          <w:noProof/>
        </w:rPr>
        <w:drawing>
          <wp:inline distT="0" distB="0" distL="0" distR="0" wp14:anchorId="659145C3" wp14:editId="448819AC">
            <wp:extent cx="2703098" cy="318245"/>
            <wp:effectExtent l="0" t="0" r="2540" b="5715"/>
            <wp:docPr id="1551672604"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18154" cy="320018"/>
                    </a:xfrm>
                    <a:prstGeom prst="rect">
                      <a:avLst/>
                    </a:prstGeom>
                    <a:noFill/>
                    <a:ln>
                      <a:noFill/>
                    </a:ln>
                  </pic:spPr>
                </pic:pic>
              </a:graphicData>
            </a:graphic>
          </wp:inline>
        </w:drawing>
      </w:r>
    </w:p>
    <w:p w14:paraId="117E5FBC" w14:textId="77777777" w:rsidR="00657236" w:rsidRPr="00180B8D" w:rsidRDefault="00D655E7">
      <w:pPr>
        <w:pStyle w:val="P68B1DB1-Normal2"/>
        <w:spacing w:after="0" w:line="240" w:lineRule="auto"/>
        <w:ind w:firstLine="567"/>
        <w:jc w:val="both"/>
        <w:rPr>
          <w:lang w:val="en-GB"/>
        </w:rPr>
      </w:pPr>
      <w:r w:rsidRPr="00180B8D">
        <w:rPr>
          <w:lang w:val="en-GB"/>
        </w:rPr>
        <w:t>where:</w:t>
      </w:r>
    </w:p>
    <w:tbl>
      <w:tblPr>
        <w:tblW w:w="4500" w:type="pct"/>
        <w:jc w:val="center"/>
        <w:tblCellMar>
          <w:top w:w="15" w:type="dxa"/>
          <w:left w:w="15" w:type="dxa"/>
          <w:bottom w:w="15" w:type="dxa"/>
          <w:right w:w="15" w:type="dxa"/>
        </w:tblCellMar>
        <w:tblLook w:val="04A0" w:firstRow="1" w:lastRow="0" w:firstColumn="1" w:lastColumn="0" w:noHBand="0" w:noVBand="1"/>
      </w:tblPr>
      <w:tblGrid>
        <w:gridCol w:w="998"/>
        <w:gridCol w:w="7422"/>
      </w:tblGrid>
      <w:tr w:rsidR="00657236" w:rsidRPr="00180B8D" w14:paraId="1D50E0CA" w14:textId="77777777">
        <w:trPr>
          <w:jc w:val="center"/>
        </w:trPr>
        <w:tc>
          <w:tcPr>
            <w:tcW w:w="0" w:type="auto"/>
            <w:tcBorders>
              <w:top w:val="nil"/>
              <w:left w:val="nil"/>
              <w:bottom w:val="nil"/>
              <w:right w:val="nil"/>
            </w:tcBorders>
            <w:tcMar>
              <w:top w:w="24" w:type="dxa"/>
              <w:left w:w="48" w:type="dxa"/>
              <w:bottom w:w="24" w:type="dxa"/>
              <w:right w:w="48" w:type="dxa"/>
            </w:tcMar>
            <w:hideMark/>
          </w:tcPr>
          <w:p w14:paraId="382B5E5A" w14:textId="6A31EC1B" w:rsidR="00657236" w:rsidRPr="00180B8D" w:rsidRDefault="00821DB7">
            <w:pPr>
              <w:pStyle w:val="P68B1DB1-Normal2"/>
              <w:spacing w:after="0" w:line="240" w:lineRule="auto"/>
              <w:rPr>
                <w:lang w:val="en-GB"/>
              </w:rPr>
            </w:pPr>
            <w:r>
              <w:rPr>
                <w:noProof/>
              </w:rPr>
              <w:drawing>
                <wp:inline distT="0" distB="0" distL="0" distR="0" wp14:anchorId="27BC4D1D" wp14:editId="28C5BA48">
                  <wp:extent cx="508635" cy="254635"/>
                  <wp:effectExtent l="0" t="0" r="5715" b="0"/>
                  <wp:docPr id="102523790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08635" cy="25463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72CF7F3B" w14:textId="0EE03D18" w:rsidR="00657236" w:rsidRPr="00180B8D" w:rsidRDefault="00D655E7">
            <w:pPr>
              <w:pStyle w:val="P68B1DB1-Normal2"/>
              <w:spacing w:after="0" w:line="240" w:lineRule="auto"/>
              <w:rPr>
                <w:lang w:val="en-GB"/>
              </w:rPr>
            </w:pPr>
            <w:r w:rsidRPr="00180B8D">
              <w:rPr>
                <w:lang w:val="en-GB"/>
              </w:rPr>
              <w:t>shall be equal to 1 where the two</w:t>
            </w:r>
            <w:r w:rsidR="00821DB7">
              <w:rPr>
                <w:lang w:val="en-GB"/>
              </w:rPr>
              <w:t xml:space="preserve"> </w:t>
            </w:r>
            <w:r w:rsidR="00821DB7" w:rsidRPr="00821DB7">
              <w:t>vertices </w:t>
            </w:r>
            <w:r w:rsidR="00821DB7">
              <w:t>of the</w:t>
            </w:r>
            <w:r w:rsidRPr="00180B8D">
              <w:rPr>
                <w:lang w:val="en-GB"/>
              </w:rPr>
              <w:t xml:space="preserve"> sensitivities k and l are identical, otherwise it shall be equal to </w:t>
            </w:r>
            <w:proofErr w:type="gramStart"/>
            <w:r w:rsidRPr="00180B8D">
              <w:rPr>
                <w:lang w:val="en-GB"/>
              </w:rPr>
              <w:t>90 %;</w:t>
            </w:r>
            <w:proofErr w:type="gramEnd"/>
          </w:p>
        </w:tc>
      </w:tr>
      <w:tr w:rsidR="00657236" w:rsidRPr="00180B8D" w14:paraId="4F9F369C" w14:textId="77777777">
        <w:trPr>
          <w:jc w:val="center"/>
        </w:trPr>
        <w:tc>
          <w:tcPr>
            <w:tcW w:w="0" w:type="auto"/>
            <w:tcBorders>
              <w:top w:val="nil"/>
              <w:left w:val="nil"/>
              <w:bottom w:val="nil"/>
              <w:right w:val="nil"/>
            </w:tcBorders>
            <w:tcMar>
              <w:top w:w="24" w:type="dxa"/>
              <w:left w:w="48" w:type="dxa"/>
              <w:bottom w:w="24" w:type="dxa"/>
              <w:right w:w="48" w:type="dxa"/>
            </w:tcMar>
            <w:hideMark/>
          </w:tcPr>
          <w:p w14:paraId="42CC5DA7" w14:textId="6E361654" w:rsidR="00657236" w:rsidRPr="00180B8D" w:rsidRDefault="00821DB7">
            <w:pPr>
              <w:pStyle w:val="P68B1DB1-Normal2"/>
              <w:spacing w:after="0" w:line="240" w:lineRule="auto"/>
              <w:rPr>
                <w:lang w:val="en-GB"/>
              </w:rPr>
            </w:pPr>
            <w:r>
              <w:rPr>
                <w:noProof/>
              </w:rPr>
              <w:drawing>
                <wp:inline distT="0" distB="0" distL="0" distR="0" wp14:anchorId="7B12C390" wp14:editId="2EEF2E08">
                  <wp:extent cx="540385" cy="254635"/>
                  <wp:effectExtent l="0" t="0" r="0" b="0"/>
                  <wp:docPr id="70116924"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0385" cy="25463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3531B951" w14:textId="6E316BA3" w:rsidR="00657236" w:rsidRPr="00180B8D" w:rsidRDefault="00D655E7">
            <w:pPr>
              <w:pStyle w:val="P68B1DB1-Normal2"/>
              <w:spacing w:after="0" w:line="240" w:lineRule="auto"/>
              <w:rPr>
                <w:lang w:val="en-GB"/>
              </w:rPr>
            </w:pPr>
            <w:r w:rsidRPr="00180B8D">
              <w:rPr>
                <w:lang w:val="en-GB"/>
              </w:rPr>
              <w:t xml:space="preserve">shall be equal to 1 where the two names of sensitivities k and l are identical and the two indices are of the same series, 90 % if the two indices are the same but of </w:t>
            </w:r>
            <w:r w:rsidR="00821DB7" w:rsidRPr="00821DB7">
              <w:t>distinct </w:t>
            </w:r>
            <w:r w:rsidRPr="00180B8D">
              <w:rPr>
                <w:lang w:val="en-GB"/>
              </w:rPr>
              <w:t xml:space="preserve">series, otherwise it shall be equal to </w:t>
            </w:r>
            <w:proofErr w:type="gramStart"/>
            <w:r w:rsidRPr="00180B8D">
              <w:rPr>
                <w:lang w:val="en-GB"/>
              </w:rPr>
              <w:t>80 %;</w:t>
            </w:r>
            <w:proofErr w:type="gramEnd"/>
          </w:p>
        </w:tc>
      </w:tr>
      <w:tr w:rsidR="00657236" w:rsidRPr="00180B8D" w14:paraId="20E482B1" w14:textId="77777777">
        <w:trPr>
          <w:jc w:val="center"/>
        </w:trPr>
        <w:tc>
          <w:tcPr>
            <w:tcW w:w="0" w:type="auto"/>
            <w:tcBorders>
              <w:top w:val="nil"/>
              <w:left w:val="nil"/>
              <w:bottom w:val="nil"/>
              <w:right w:val="nil"/>
            </w:tcBorders>
            <w:tcMar>
              <w:top w:w="24" w:type="dxa"/>
              <w:left w:w="48" w:type="dxa"/>
              <w:bottom w:w="24" w:type="dxa"/>
              <w:right w:w="48" w:type="dxa"/>
            </w:tcMar>
            <w:hideMark/>
          </w:tcPr>
          <w:p w14:paraId="29FEE4E0" w14:textId="202F1A96" w:rsidR="00657236" w:rsidRPr="00180B8D" w:rsidRDefault="00821DB7">
            <w:pPr>
              <w:pStyle w:val="P68B1DB1-Normal2"/>
              <w:spacing w:after="0" w:line="240" w:lineRule="auto"/>
              <w:rPr>
                <w:lang w:val="en-GB"/>
              </w:rPr>
            </w:pPr>
            <w:r>
              <w:rPr>
                <w:noProof/>
              </w:rPr>
              <w:drawing>
                <wp:inline distT="0" distB="0" distL="0" distR="0" wp14:anchorId="03154943" wp14:editId="3FB21C29">
                  <wp:extent cx="572770" cy="254635"/>
                  <wp:effectExtent l="0" t="0" r="0" b="0"/>
                  <wp:docPr id="1541051099"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2770" cy="25463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329F35ED" w14:textId="77777777" w:rsidR="00657236" w:rsidRPr="00180B8D" w:rsidRDefault="00D655E7">
            <w:pPr>
              <w:pStyle w:val="P68B1DB1-Normal2"/>
              <w:spacing w:after="0" w:line="240" w:lineRule="auto"/>
              <w:rPr>
                <w:lang w:val="en-GB"/>
              </w:rPr>
            </w:pPr>
            <w:r w:rsidRPr="00180B8D">
              <w:rPr>
                <w:lang w:val="en-GB"/>
              </w:rPr>
              <w:t xml:space="preserve">shall be equal to 1 where the two names are both in bucket 12 </w:t>
            </w:r>
            <w:proofErr w:type="gramStart"/>
            <w:r w:rsidRPr="00180B8D">
              <w:rPr>
                <w:lang w:val="en-GB"/>
              </w:rPr>
              <w:t>or</w:t>
            </w:r>
            <w:proofErr w:type="gramEnd"/>
            <w:r w:rsidRPr="00180B8D">
              <w:rPr>
                <w:lang w:val="en-GB"/>
              </w:rPr>
              <w:t xml:space="preserve"> both in bucket 21, otherwise it shall be equal to 80 %.</w:t>
            </w:r>
          </w:p>
        </w:tc>
      </w:tr>
    </w:tbl>
    <w:p w14:paraId="79767F9D" w14:textId="77777777" w:rsidR="00657236" w:rsidRPr="00180B8D" w:rsidRDefault="00D655E7">
      <w:pPr>
        <w:pStyle w:val="P68B1DB1-Normal2"/>
        <w:spacing w:after="0" w:line="240" w:lineRule="auto"/>
        <w:ind w:firstLine="567"/>
        <w:jc w:val="both"/>
        <w:rPr>
          <w:lang w:val="en-GB"/>
        </w:rPr>
      </w:pPr>
      <w:r w:rsidRPr="00180B8D">
        <w:rPr>
          <w:lang w:val="en-GB"/>
        </w:rPr>
        <w:t> </w:t>
      </w:r>
    </w:p>
    <w:p w14:paraId="520A9688" w14:textId="45EE9950" w:rsidR="00657236" w:rsidRPr="00180B8D" w:rsidRDefault="00D655E7">
      <w:pPr>
        <w:pStyle w:val="P68B1DB1-Normal2"/>
        <w:spacing w:after="0" w:line="240" w:lineRule="auto"/>
        <w:ind w:firstLine="567"/>
        <w:jc w:val="both"/>
        <w:rPr>
          <w:lang w:val="en-GB"/>
        </w:rPr>
      </w:pPr>
      <w:r w:rsidRPr="00180B8D">
        <w:rPr>
          <w:b/>
          <w:lang w:val="en-GB"/>
        </w:rPr>
        <w:t>92.</w:t>
      </w:r>
      <w:r w:rsidRPr="00180B8D">
        <w:rPr>
          <w:lang w:val="en-GB"/>
        </w:rPr>
        <w:t xml:space="preserve"> </w:t>
      </w:r>
      <w:r w:rsidR="00170C13" w:rsidRPr="00170C13">
        <w:t>The cross-bucket correlations for counterparty credit spread delta risk shall be the following</w:t>
      </w:r>
      <w:r w:rsidRPr="00180B8D">
        <w:rPr>
          <w:lang w:val="en-GB"/>
        </w:rPr>
        <w:t>:</w:t>
      </w:r>
    </w:p>
    <w:p w14:paraId="7B3DB9D7" w14:textId="77777777" w:rsidR="00657236" w:rsidRPr="00180B8D" w:rsidRDefault="00D655E7">
      <w:pPr>
        <w:pStyle w:val="P68B1DB1-Normal2"/>
        <w:spacing w:after="0" w:line="240" w:lineRule="auto"/>
        <w:jc w:val="right"/>
        <w:rPr>
          <w:lang w:val="en-GB"/>
        </w:rPr>
      </w:pPr>
      <w:r w:rsidRPr="00180B8D">
        <w:rPr>
          <w:lang w:val="en-GB"/>
        </w:rPr>
        <w:t> </w:t>
      </w:r>
    </w:p>
    <w:p w14:paraId="0A0F7687" w14:textId="77777777" w:rsidR="00657236" w:rsidRPr="00180B8D" w:rsidRDefault="00D655E7">
      <w:pPr>
        <w:pStyle w:val="P68B1DB1-Normal4"/>
        <w:spacing w:after="0" w:line="240" w:lineRule="auto"/>
        <w:jc w:val="right"/>
        <w:rPr>
          <w:lang w:val="en-GB"/>
        </w:rPr>
      </w:pPr>
      <w:r w:rsidRPr="00180B8D">
        <w:rPr>
          <w:lang w:val="en-GB"/>
        </w:rPr>
        <w:t>Table 4</w:t>
      </w:r>
    </w:p>
    <w:p w14:paraId="0E42D19E" w14:textId="77777777" w:rsidR="00657236" w:rsidRPr="00180B8D" w:rsidRDefault="00D655E7">
      <w:pPr>
        <w:pStyle w:val="P68B1DB1-Normal2"/>
        <w:spacing w:after="0" w:line="240" w:lineRule="auto"/>
        <w:jc w:val="right"/>
        <w:rPr>
          <w:lang w:val="en-GB"/>
        </w:rPr>
      </w:pPr>
      <w:r w:rsidRPr="00180B8D">
        <w:rPr>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64"/>
        <w:gridCol w:w="771"/>
        <w:gridCol w:w="728"/>
        <w:gridCol w:w="728"/>
        <w:gridCol w:w="728"/>
        <w:gridCol w:w="728"/>
        <w:gridCol w:w="728"/>
        <w:gridCol w:w="728"/>
        <w:gridCol w:w="734"/>
        <w:gridCol w:w="734"/>
      </w:tblGrid>
      <w:tr w:rsidR="00657236" w:rsidRPr="00180B8D" w14:paraId="2FF42B2D"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4705332" w14:textId="0336A84D" w:rsidR="00657236" w:rsidRPr="00180B8D" w:rsidRDefault="00170C13">
            <w:pPr>
              <w:pStyle w:val="P68B1DB1-Normal1"/>
              <w:spacing w:after="0" w:line="240" w:lineRule="auto"/>
              <w:jc w:val="center"/>
              <w:rPr>
                <w:lang w:val="en-GB"/>
              </w:rPr>
            </w:pPr>
            <w:r w:rsidRPr="00170C13">
              <w:rPr>
                <w:lang w:val="en-GB"/>
              </w:rPr>
              <w:t>Bucket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43472DD" w14:textId="77777777" w:rsidR="00657236" w:rsidRPr="00180B8D" w:rsidRDefault="00D655E7">
            <w:pPr>
              <w:pStyle w:val="P68B1DB1-Normal1"/>
              <w:spacing w:after="0" w:line="240" w:lineRule="auto"/>
              <w:jc w:val="center"/>
              <w:rPr>
                <w:lang w:val="en-GB"/>
              </w:rPr>
            </w:pPr>
            <w:r w:rsidRPr="00180B8D">
              <w:rPr>
                <w:lang w:val="en-GB"/>
              </w:rPr>
              <w:t>1, 2, 3, 13 and 14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B276FFC" w14:textId="77777777" w:rsidR="00657236" w:rsidRPr="00180B8D" w:rsidRDefault="00D655E7">
            <w:pPr>
              <w:pStyle w:val="P68B1DB1-Normal1"/>
              <w:spacing w:after="0" w:line="240" w:lineRule="auto"/>
              <w:jc w:val="center"/>
              <w:rPr>
                <w:lang w:val="en-GB"/>
              </w:rPr>
            </w:pPr>
            <w:r w:rsidRPr="00180B8D">
              <w:rPr>
                <w:lang w:val="en-GB"/>
              </w:rPr>
              <w:t>4 and 15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2FFFF5F" w14:textId="77777777" w:rsidR="00657236" w:rsidRPr="00180B8D" w:rsidRDefault="00D655E7">
            <w:pPr>
              <w:pStyle w:val="P68B1DB1-Normal1"/>
              <w:spacing w:after="0" w:line="240" w:lineRule="auto"/>
              <w:jc w:val="center"/>
              <w:rPr>
                <w:lang w:val="en-GB"/>
              </w:rPr>
            </w:pPr>
            <w:r w:rsidRPr="00180B8D">
              <w:rPr>
                <w:lang w:val="en-GB"/>
              </w:rPr>
              <w:t>5 and 16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1F4BDD9" w14:textId="77777777" w:rsidR="00657236" w:rsidRPr="00180B8D" w:rsidRDefault="00D655E7">
            <w:pPr>
              <w:pStyle w:val="P68B1DB1-Normal1"/>
              <w:spacing w:after="0" w:line="240" w:lineRule="auto"/>
              <w:jc w:val="center"/>
              <w:rPr>
                <w:lang w:val="en-GB"/>
              </w:rPr>
            </w:pPr>
            <w:r w:rsidRPr="00180B8D">
              <w:rPr>
                <w:lang w:val="en-GB"/>
              </w:rPr>
              <w:t>6 and 17</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523FB9C" w14:textId="77777777" w:rsidR="00657236" w:rsidRPr="00180B8D" w:rsidRDefault="00D655E7">
            <w:pPr>
              <w:pStyle w:val="P68B1DB1-Normal1"/>
              <w:spacing w:after="0" w:line="240" w:lineRule="auto"/>
              <w:jc w:val="center"/>
              <w:rPr>
                <w:lang w:val="en-GB"/>
              </w:rPr>
            </w:pPr>
            <w:r w:rsidRPr="00180B8D">
              <w:rPr>
                <w:lang w:val="en-GB"/>
              </w:rPr>
              <w:t>7 and 18</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07857FB" w14:textId="77777777" w:rsidR="00657236" w:rsidRPr="00180B8D" w:rsidRDefault="00D655E7">
            <w:pPr>
              <w:pStyle w:val="P68B1DB1-Normal1"/>
              <w:spacing w:after="0" w:line="240" w:lineRule="auto"/>
              <w:jc w:val="center"/>
              <w:rPr>
                <w:lang w:val="en-GB"/>
              </w:rPr>
            </w:pPr>
            <w:r w:rsidRPr="00180B8D">
              <w:rPr>
                <w:lang w:val="en-GB"/>
              </w:rPr>
              <w:t>8 and 19</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3D3F685" w14:textId="77777777" w:rsidR="00657236" w:rsidRPr="00180B8D" w:rsidRDefault="00D655E7">
            <w:pPr>
              <w:pStyle w:val="P68B1DB1-Normal1"/>
              <w:spacing w:after="0" w:line="240" w:lineRule="auto"/>
              <w:jc w:val="center"/>
              <w:rPr>
                <w:lang w:val="en-GB"/>
              </w:rPr>
            </w:pPr>
            <w:r w:rsidRPr="00180B8D">
              <w:rPr>
                <w:lang w:val="en-GB"/>
              </w:rPr>
              <w:t>9 and 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5A55151" w14:textId="77777777" w:rsidR="00657236" w:rsidRPr="00180B8D" w:rsidRDefault="00D655E7">
            <w:pPr>
              <w:pStyle w:val="P68B1DB1-Normal1"/>
              <w:spacing w:after="0" w:line="240" w:lineRule="auto"/>
              <w:jc w:val="center"/>
              <w:rPr>
                <w:lang w:val="en-GB"/>
              </w:rPr>
            </w:pPr>
            <w:r w:rsidRPr="00180B8D">
              <w:rPr>
                <w:lang w:val="en-GB"/>
              </w:rPr>
              <w:t>11 and 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22D53C9" w14:textId="77777777" w:rsidR="00657236" w:rsidRPr="00180B8D" w:rsidRDefault="00D655E7">
            <w:pPr>
              <w:pStyle w:val="P68B1DB1-Normal1"/>
              <w:spacing w:after="0" w:line="240" w:lineRule="auto"/>
              <w:jc w:val="center"/>
              <w:rPr>
                <w:lang w:val="en-GB"/>
              </w:rPr>
            </w:pPr>
            <w:r w:rsidRPr="00180B8D">
              <w:rPr>
                <w:lang w:val="en-GB"/>
              </w:rPr>
              <w:t>12 and 21</w:t>
            </w:r>
          </w:p>
        </w:tc>
      </w:tr>
      <w:tr w:rsidR="00657236" w:rsidRPr="00180B8D" w14:paraId="326DF55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291911" w14:textId="77777777" w:rsidR="00657236" w:rsidRPr="00180B8D" w:rsidRDefault="00D655E7">
            <w:pPr>
              <w:pStyle w:val="P68B1DB1-Normal2"/>
              <w:spacing w:after="0" w:line="240" w:lineRule="auto"/>
              <w:rPr>
                <w:lang w:val="en-GB"/>
              </w:rPr>
            </w:pPr>
            <w:r w:rsidRPr="00180B8D">
              <w:rPr>
                <w:lang w:val="en-GB"/>
              </w:rPr>
              <w:t>1, 2, 3, 13 and 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B37219"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2D0985" w14:textId="77777777" w:rsidR="00657236" w:rsidRPr="00180B8D" w:rsidRDefault="00D655E7">
            <w:pPr>
              <w:pStyle w:val="P68B1DB1-Normal2"/>
              <w:spacing w:after="0" w:line="240" w:lineRule="auto"/>
              <w:jc w:val="center"/>
              <w:rPr>
                <w:lang w:val="en-GB"/>
              </w:rPr>
            </w:pPr>
            <w:r w:rsidRPr="00180B8D">
              <w:rPr>
                <w:lang w:val="en-GB"/>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D2DE06"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9C7A8D" w14:textId="77777777" w:rsidR="00657236" w:rsidRPr="00180B8D" w:rsidRDefault="00D655E7">
            <w:pPr>
              <w:pStyle w:val="P68B1DB1-Normal2"/>
              <w:spacing w:after="0" w:line="240" w:lineRule="auto"/>
              <w:jc w:val="center"/>
              <w:rPr>
                <w:lang w:val="en-GB"/>
              </w:rPr>
            </w:pPr>
            <w:r w:rsidRPr="00180B8D">
              <w:rPr>
                <w:lang w:val="en-GB"/>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16530F"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7D2624" w14:textId="77777777" w:rsidR="00657236" w:rsidRPr="00180B8D" w:rsidRDefault="00D655E7">
            <w:pPr>
              <w:pStyle w:val="P68B1DB1-Normal2"/>
              <w:spacing w:after="0" w:line="240" w:lineRule="auto"/>
              <w:jc w:val="center"/>
              <w:rPr>
                <w:lang w:val="en-GB"/>
              </w:rPr>
            </w:pPr>
            <w:r w:rsidRPr="00180B8D">
              <w:rPr>
                <w:lang w:val="en-GB"/>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2CF5B0" w14:textId="77777777" w:rsidR="00657236" w:rsidRPr="00180B8D" w:rsidRDefault="00D655E7">
            <w:pPr>
              <w:pStyle w:val="P68B1DB1-Normal2"/>
              <w:spacing w:after="0" w:line="240" w:lineRule="auto"/>
              <w:jc w:val="center"/>
              <w:rPr>
                <w:lang w:val="en-GB"/>
              </w:rPr>
            </w:pPr>
            <w:r w:rsidRPr="00180B8D">
              <w:rPr>
                <w:lang w:val="en-GB"/>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DA4D22"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CDF649"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4306618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99B2B" w14:textId="77777777" w:rsidR="00657236" w:rsidRPr="00180B8D" w:rsidRDefault="00D655E7">
            <w:pPr>
              <w:pStyle w:val="P68B1DB1-Normal2"/>
              <w:spacing w:after="0" w:line="240" w:lineRule="auto"/>
              <w:rPr>
                <w:lang w:val="en-GB"/>
              </w:rPr>
            </w:pPr>
            <w:r w:rsidRPr="00180B8D">
              <w:rPr>
                <w:lang w:val="en-GB"/>
              </w:rPr>
              <w:t>4 and 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729092"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21039C"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49457F5"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FF1524" w14:textId="77777777" w:rsidR="00657236" w:rsidRPr="00180B8D" w:rsidRDefault="00D655E7">
            <w:pPr>
              <w:pStyle w:val="P68B1DB1-Normal2"/>
              <w:spacing w:after="0" w:line="240" w:lineRule="auto"/>
              <w:jc w:val="center"/>
              <w:rPr>
                <w:lang w:val="en-GB"/>
              </w:rPr>
            </w:pPr>
            <w:r w:rsidRPr="00180B8D">
              <w:rPr>
                <w:lang w:val="en-GB"/>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DAD653"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5D1C9A"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EE962"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EC193C"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90FB52"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0C8A9DC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6D8C26C" w14:textId="77777777" w:rsidR="00657236" w:rsidRPr="00180B8D" w:rsidRDefault="00D655E7">
            <w:pPr>
              <w:pStyle w:val="P68B1DB1-Normal2"/>
              <w:spacing w:after="0" w:line="240" w:lineRule="auto"/>
              <w:rPr>
                <w:lang w:val="en-GB"/>
              </w:rPr>
            </w:pPr>
            <w:r w:rsidRPr="00180B8D">
              <w:rPr>
                <w:lang w:val="en-GB"/>
              </w:rPr>
              <w:t>5 and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79A87"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DFF918"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3F592"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D0B26F"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5A48B5" w14:textId="77777777" w:rsidR="00657236" w:rsidRPr="00180B8D" w:rsidRDefault="00D655E7">
            <w:pPr>
              <w:pStyle w:val="P68B1DB1-Normal2"/>
              <w:spacing w:after="0" w:line="240" w:lineRule="auto"/>
              <w:jc w:val="center"/>
              <w:rPr>
                <w:lang w:val="en-GB"/>
              </w:rPr>
            </w:pPr>
            <w:r w:rsidRPr="00180B8D">
              <w:rPr>
                <w:lang w:val="en-GB"/>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A40F50"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C3573"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CB37E5"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2C3217"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53B5FE8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2E9A1" w14:textId="77777777" w:rsidR="00657236" w:rsidRPr="00180B8D" w:rsidRDefault="00D655E7">
            <w:pPr>
              <w:pStyle w:val="P68B1DB1-Normal2"/>
              <w:spacing w:after="0" w:line="240" w:lineRule="auto"/>
              <w:rPr>
                <w:lang w:val="en-GB"/>
              </w:rPr>
            </w:pPr>
            <w:r w:rsidRPr="00180B8D">
              <w:rPr>
                <w:lang w:val="en-GB"/>
              </w:rPr>
              <w:t>6 and 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598A47"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1A6F87"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356E8D"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DF0645"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C003FE2" w14:textId="77777777" w:rsidR="00657236" w:rsidRPr="00180B8D" w:rsidRDefault="00D655E7">
            <w:pPr>
              <w:pStyle w:val="P68B1DB1-Normal2"/>
              <w:spacing w:after="0" w:line="240" w:lineRule="auto"/>
              <w:jc w:val="center"/>
              <w:rPr>
                <w:lang w:val="en-GB"/>
              </w:rPr>
            </w:pPr>
            <w:r w:rsidRPr="00180B8D">
              <w:rPr>
                <w:lang w:val="en-GB"/>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9FB17F"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691A4C" w14:textId="77777777" w:rsidR="00657236" w:rsidRPr="00180B8D" w:rsidRDefault="00D655E7">
            <w:pPr>
              <w:pStyle w:val="P68B1DB1-Normal2"/>
              <w:spacing w:after="0" w:line="240" w:lineRule="auto"/>
              <w:jc w:val="center"/>
              <w:rPr>
                <w:lang w:val="en-GB"/>
              </w:rPr>
            </w:pPr>
            <w:r w:rsidRPr="00180B8D">
              <w:rPr>
                <w:lang w:val="en-GB"/>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22A22F"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B4D757"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39F52E1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F20CF6" w14:textId="77777777" w:rsidR="00657236" w:rsidRPr="00180B8D" w:rsidRDefault="00D655E7">
            <w:pPr>
              <w:pStyle w:val="P68B1DB1-Normal2"/>
              <w:spacing w:after="0" w:line="240" w:lineRule="auto"/>
              <w:rPr>
                <w:lang w:val="en-GB"/>
              </w:rPr>
            </w:pPr>
            <w:r w:rsidRPr="00180B8D">
              <w:rPr>
                <w:lang w:val="en-GB"/>
              </w:rPr>
              <w:t>7 and 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E7E845"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C69408"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29BF36"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95F52"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EAAB6D"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BF37E3"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CFB74A"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B751B9"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C6F6C2"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6FD4837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F527DB" w14:textId="77777777" w:rsidR="00657236" w:rsidRPr="00180B8D" w:rsidRDefault="00D655E7">
            <w:pPr>
              <w:pStyle w:val="P68B1DB1-Normal2"/>
              <w:spacing w:after="0" w:line="240" w:lineRule="auto"/>
              <w:rPr>
                <w:lang w:val="en-GB"/>
              </w:rPr>
            </w:pPr>
            <w:r w:rsidRPr="00180B8D">
              <w:rPr>
                <w:lang w:val="en-GB"/>
              </w:rPr>
              <w:lastRenderedPageBreak/>
              <w:t>8 and 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06C2B2"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67DABD"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A3F67B7"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7AB644"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AF1FEE"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689D0A"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5D6F96"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8E96FF"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395BE"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6E393E1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C39C0F" w14:textId="77777777" w:rsidR="00657236" w:rsidRPr="00180B8D" w:rsidRDefault="00D655E7">
            <w:pPr>
              <w:pStyle w:val="P68B1DB1-Normal2"/>
              <w:spacing w:after="0" w:line="240" w:lineRule="auto"/>
              <w:rPr>
                <w:lang w:val="en-GB"/>
              </w:rPr>
            </w:pPr>
            <w:r w:rsidRPr="00180B8D">
              <w:rPr>
                <w:lang w:val="en-GB"/>
              </w:rPr>
              <w:t>9 and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46B7CD"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0610D6"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C0A1A8"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06818D"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A4B7B2"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727E75A"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E350AB"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9A9C65"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6E943A"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5A2B3F4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112F4A" w14:textId="77777777" w:rsidR="00657236" w:rsidRPr="00180B8D" w:rsidRDefault="00D655E7">
            <w:pPr>
              <w:pStyle w:val="P68B1DB1-Normal2"/>
              <w:spacing w:after="0" w:line="240" w:lineRule="auto"/>
              <w:rPr>
                <w:lang w:val="en-GB"/>
              </w:rPr>
            </w:pPr>
            <w:r w:rsidRPr="00180B8D">
              <w:rPr>
                <w:lang w:val="en-GB"/>
              </w:rPr>
              <w:t>11 and 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4FDF75"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3C6079"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4DDB0B"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D93412"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AF9925"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92C4A2"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8E4A6C"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CA0DB1"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7C0DD3" w14:textId="77777777" w:rsidR="00657236" w:rsidRPr="00180B8D" w:rsidRDefault="00D655E7">
            <w:pPr>
              <w:pStyle w:val="P68B1DB1-Normal2"/>
              <w:spacing w:after="0" w:line="240" w:lineRule="auto"/>
              <w:jc w:val="center"/>
              <w:rPr>
                <w:lang w:val="en-GB"/>
              </w:rPr>
            </w:pPr>
            <w:r w:rsidRPr="00180B8D">
              <w:rPr>
                <w:lang w:val="en-GB"/>
              </w:rPr>
              <w:t>0 %</w:t>
            </w:r>
          </w:p>
        </w:tc>
      </w:tr>
      <w:tr w:rsidR="00657236" w:rsidRPr="00180B8D" w14:paraId="547050F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768A6" w14:textId="77777777" w:rsidR="00657236" w:rsidRPr="00180B8D" w:rsidRDefault="00D655E7">
            <w:pPr>
              <w:pStyle w:val="P68B1DB1-Normal2"/>
              <w:spacing w:after="0" w:line="240" w:lineRule="auto"/>
              <w:rPr>
                <w:lang w:val="en-GB"/>
              </w:rPr>
            </w:pPr>
            <w:r w:rsidRPr="00180B8D">
              <w:rPr>
                <w:lang w:val="en-GB"/>
              </w:rPr>
              <w:t>12 and 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E68AB0"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63485E"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DC3476"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D56570"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A159F9"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056897"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8A5F78"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7D46BF"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100A84" w14:textId="77777777" w:rsidR="00657236" w:rsidRPr="00180B8D" w:rsidRDefault="00D655E7">
            <w:pPr>
              <w:pStyle w:val="P68B1DB1-Normal2"/>
              <w:spacing w:after="0" w:line="240" w:lineRule="auto"/>
              <w:jc w:val="center"/>
              <w:rPr>
                <w:lang w:val="en-GB"/>
              </w:rPr>
            </w:pPr>
            <w:r w:rsidRPr="00180B8D">
              <w:rPr>
                <w:lang w:val="en-GB"/>
              </w:rPr>
              <w:t>100 %</w:t>
            </w:r>
          </w:p>
        </w:tc>
      </w:tr>
    </w:tbl>
    <w:p w14:paraId="73DF7DBB" w14:textId="77777777" w:rsidR="00657236" w:rsidRPr="00180B8D" w:rsidRDefault="00D655E7">
      <w:pPr>
        <w:pStyle w:val="P68B1DB1-Normal2"/>
        <w:spacing w:after="0" w:line="240" w:lineRule="auto"/>
        <w:jc w:val="center"/>
        <w:rPr>
          <w:lang w:val="en-GB"/>
        </w:rPr>
      </w:pPr>
      <w:r w:rsidRPr="00180B8D">
        <w:rPr>
          <w:lang w:val="en-GB"/>
        </w:rPr>
        <w:t> </w:t>
      </w:r>
    </w:p>
    <w:p w14:paraId="5FE752E3" w14:textId="77777777" w:rsidR="00657236" w:rsidRPr="00180B8D" w:rsidRDefault="00D655E7">
      <w:pPr>
        <w:pStyle w:val="P68B1DB1-Normal3"/>
        <w:spacing w:after="0" w:line="240" w:lineRule="auto"/>
        <w:jc w:val="center"/>
        <w:rPr>
          <w:lang w:val="en-GB"/>
        </w:rPr>
      </w:pPr>
      <w:r w:rsidRPr="00180B8D">
        <w:rPr>
          <w:lang w:val="en-GB"/>
        </w:rPr>
        <w:t>Section 17</w:t>
      </w:r>
    </w:p>
    <w:p w14:paraId="4863B44B" w14:textId="059510B7" w:rsidR="00657236" w:rsidRPr="00180B8D" w:rsidRDefault="00D655E7">
      <w:pPr>
        <w:pStyle w:val="P68B1DB1-Normal3"/>
        <w:spacing w:after="0" w:line="240" w:lineRule="auto"/>
        <w:jc w:val="center"/>
        <w:rPr>
          <w:lang w:val="en-GB"/>
        </w:rPr>
      </w:pPr>
      <w:r w:rsidRPr="00180B8D">
        <w:rPr>
          <w:lang w:val="en-GB"/>
        </w:rPr>
        <w:t xml:space="preserve">Risk weights for reference </w:t>
      </w:r>
      <w:r w:rsidR="00DB3CEE" w:rsidRPr="00DB3CEE">
        <w:rPr>
          <w:bCs/>
        </w:rPr>
        <w:t>credit </w:t>
      </w:r>
      <w:r w:rsidRPr="00180B8D">
        <w:rPr>
          <w:lang w:val="en-GB"/>
        </w:rPr>
        <w:t>spread risk</w:t>
      </w:r>
    </w:p>
    <w:p w14:paraId="34087551" w14:textId="5A189AAA" w:rsidR="00657236" w:rsidRPr="00180B8D" w:rsidRDefault="00D655E7">
      <w:pPr>
        <w:pStyle w:val="P68B1DB1-Normal2"/>
        <w:spacing w:after="0" w:line="240" w:lineRule="auto"/>
        <w:ind w:firstLine="567"/>
        <w:jc w:val="both"/>
        <w:rPr>
          <w:lang w:val="en-GB"/>
        </w:rPr>
      </w:pPr>
      <w:r w:rsidRPr="00180B8D">
        <w:rPr>
          <w:b/>
          <w:lang w:val="en-GB"/>
        </w:rPr>
        <w:t>93.</w:t>
      </w:r>
      <w:r w:rsidRPr="00180B8D">
        <w:rPr>
          <w:lang w:val="en-GB"/>
        </w:rPr>
        <w:t xml:space="preserve"> The risk weights for </w:t>
      </w:r>
      <w:r w:rsidR="00DB3CEE">
        <w:rPr>
          <w:lang w:val="en-GB"/>
        </w:rPr>
        <w:t xml:space="preserve">the </w:t>
      </w:r>
      <w:r w:rsidRPr="00180B8D">
        <w:rPr>
          <w:lang w:val="en-GB"/>
        </w:rPr>
        <w:t>delta sensitivities to reference credit spread risk factors shall be the same for all maturities (0</w:t>
      </w:r>
      <w:r w:rsidR="00DB3CEE">
        <w:rPr>
          <w:lang w:val="en-GB"/>
        </w:rPr>
        <w:t>,</w:t>
      </w:r>
      <w:r w:rsidRPr="00180B8D">
        <w:rPr>
          <w:lang w:val="en-GB"/>
        </w:rPr>
        <w:t xml:space="preserve">5 years, 1 year, 3 years, 5 years, 10 years) and all </w:t>
      </w:r>
      <w:r w:rsidR="00DB3CEE" w:rsidRPr="00180B8D">
        <w:rPr>
          <w:lang w:val="en-GB"/>
        </w:rPr>
        <w:t xml:space="preserve">reference credit spread </w:t>
      </w:r>
      <w:r w:rsidRPr="00180B8D">
        <w:rPr>
          <w:lang w:val="en-GB"/>
        </w:rPr>
        <w:t xml:space="preserve">exposures </w:t>
      </w:r>
      <w:r w:rsidR="00DB3CEE" w:rsidRPr="00DB3CEE">
        <w:t>within</w:t>
      </w:r>
      <w:r w:rsidR="00DB3CEE" w:rsidRPr="00DB3CEE">
        <w:rPr>
          <w:lang w:val="en-GB"/>
        </w:rPr>
        <w:t xml:space="preserve"> </w:t>
      </w:r>
      <w:r w:rsidRPr="00180B8D">
        <w:rPr>
          <w:lang w:val="en-GB"/>
        </w:rPr>
        <w:t>each bucket in Table 5 and shall be the following:</w:t>
      </w:r>
    </w:p>
    <w:p w14:paraId="4389769F" w14:textId="77777777" w:rsidR="00657236" w:rsidRPr="00180B8D" w:rsidRDefault="00D655E7">
      <w:pPr>
        <w:pStyle w:val="P68B1DB1-Normal2"/>
        <w:spacing w:after="0" w:line="240" w:lineRule="auto"/>
        <w:ind w:firstLine="567"/>
        <w:jc w:val="both"/>
        <w:rPr>
          <w:lang w:val="en-GB"/>
        </w:rPr>
      </w:pPr>
      <w:r w:rsidRPr="00180B8D">
        <w:rPr>
          <w:lang w:val="en-GB"/>
        </w:rPr>
        <w:t> </w:t>
      </w:r>
    </w:p>
    <w:p w14:paraId="0B989592" w14:textId="77777777" w:rsidR="00657236" w:rsidRPr="00180B8D" w:rsidRDefault="00D655E7">
      <w:pPr>
        <w:pStyle w:val="P68B1DB1-Normal4"/>
        <w:spacing w:after="0" w:line="240" w:lineRule="auto"/>
        <w:jc w:val="right"/>
        <w:rPr>
          <w:lang w:val="en-GB"/>
        </w:rPr>
      </w:pPr>
      <w:r w:rsidRPr="00180B8D">
        <w:rPr>
          <w:lang w:val="en-GB"/>
        </w:rPr>
        <w:t>Table 5</w:t>
      </w:r>
    </w:p>
    <w:p w14:paraId="77AEB36A" w14:textId="77777777" w:rsidR="00657236" w:rsidRPr="00180B8D" w:rsidRDefault="00D655E7">
      <w:pPr>
        <w:pStyle w:val="P68B1DB1-Normal2"/>
        <w:spacing w:after="0" w:line="240" w:lineRule="auto"/>
        <w:jc w:val="right"/>
        <w:rPr>
          <w:lang w:val="en-GB"/>
        </w:rPr>
      </w:pPr>
      <w:r w:rsidRPr="00180B8D">
        <w:rPr>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10"/>
        <w:gridCol w:w="1114"/>
        <w:gridCol w:w="4616"/>
        <w:gridCol w:w="831"/>
      </w:tblGrid>
      <w:tr w:rsidR="00657236" w:rsidRPr="00180B8D" w14:paraId="76883F3B"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73D3954" w14:textId="77777777" w:rsidR="00DB3CEE" w:rsidRDefault="00DB3CEE">
            <w:pPr>
              <w:pStyle w:val="P68B1DB1-Normal1"/>
              <w:spacing w:after="0" w:line="240" w:lineRule="auto"/>
              <w:jc w:val="center"/>
              <w:rPr>
                <w:lang w:val="en-GB"/>
              </w:rPr>
            </w:pPr>
            <w:r w:rsidRPr="00DB3CEE">
              <w:rPr>
                <w:bCs/>
              </w:rPr>
              <w:t>Bucket </w:t>
            </w:r>
            <w:r w:rsidRPr="00DB3CEE">
              <w:rPr>
                <w:lang w:val="en-GB"/>
              </w:rPr>
              <w:t xml:space="preserve"> </w:t>
            </w:r>
          </w:p>
          <w:p w14:paraId="0425DE40" w14:textId="4CF828AC" w:rsidR="00657236" w:rsidRPr="00180B8D" w:rsidRDefault="00D655E7">
            <w:pPr>
              <w:pStyle w:val="P68B1DB1-Normal1"/>
              <w:spacing w:after="0" w:line="240" w:lineRule="auto"/>
              <w:jc w:val="center"/>
              <w:rPr>
                <w:bCs/>
                <w:lang w:val="en-GB"/>
              </w:rPr>
            </w:pPr>
            <w:r w:rsidRPr="00180B8D">
              <w:rPr>
                <w:lang w:val="en-GB"/>
              </w:rPr>
              <w:t>number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BCBF0BA" w14:textId="77777777" w:rsidR="00657236" w:rsidRPr="00180B8D" w:rsidRDefault="00D655E7">
            <w:pPr>
              <w:pStyle w:val="P68B1DB1-Normal1"/>
              <w:spacing w:after="0" w:line="240" w:lineRule="auto"/>
              <w:jc w:val="center"/>
              <w:rPr>
                <w:bCs/>
                <w:lang w:val="en-GB"/>
              </w:rPr>
            </w:pPr>
            <w:r w:rsidRPr="00180B8D">
              <w:rPr>
                <w:lang w:val="en-GB"/>
              </w:rPr>
              <w:t>Credit quality</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9DEE13F" w14:textId="77777777" w:rsidR="00657236" w:rsidRPr="00180B8D" w:rsidRDefault="00D655E7">
            <w:pPr>
              <w:pStyle w:val="P68B1DB1-Normal1"/>
              <w:spacing w:after="0" w:line="240" w:lineRule="auto"/>
              <w:jc w:val="center"/>
              <w:rPr>
                <w:bCs/>
                <w:lang w:val="en-GB"/>
              </w:rPr>
            </w:pPr>
            <w:r w:rsidRPr="00180B8D">
              <w:rPr>
                <w:lang w:val="en-GB"/>
              </w:rPr>
              <w:t>Sector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73E0EA" w14:textId="77777777" w:rsidR="00657236" w:rsidRPr="00180B8D" w:rsidRDefault="00D655E7">
            <w:pPr>
              <w:pStyle w:val="P68B1DB1-Normal1"/>
              <w:spacing w:after="0" w:line="240" w:lineRule="auto"/>
              <w:jc w:val="center"/>
              <w:rPr>
                <w:bCs/>
                <w:lang w:val="en-GB"/>
              </w:rPr>
            </w:pPr>
            <w:r w:rsidRPr="00180B8D">
              <w:rPr>
                <w:lang w:val="en-GB"/>
              </w:rPr>
              <w:t>Risk weight</w:t>
            </w:r>
          </w:p>
        </w:tc>
      </w:tr>
      <w:tr w:rsidR="00657236" w:rsidRPr="00180B8D" w14:paraId="566069A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EEAC8C" w14:textId="77777777" w:rsidR="00657236" w:rsidRPr="00180B8D" w:rsidRDefault="00D655E7">
            <w:pPr>
              <w:pStyle w:val="P68B1DB1-Normal2"/>
              <w:spacing w:after="0" w:line="240" w:lineRule="auto"/>
              <w:jc w:val="center"/>
              <w:rPr>
                <w:lang w:val="en-GB"/>
              </w:rPr>
            </w:pPr>
            <w:r w:rsidRPr="00180B8D">
              <w:rPr>
                <w:lang w:val="en-GB"/>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5E6946" w14:textId="77777777" w:rsidR="00657236" w:rsidRPr="00180B8D" w:rsidRDefault="00D655E7">
            <w:pPr>
              <w:pStyle w:val="P68B1DB1-Normal2"/>
              <w:spacing w:after="0" w:line="240" w:lineRule="auto"/>
              <w:rPr>
                <w:lang w:val="en-GB"/>
              </w:rPr>
            </w:pPr>
            <w:r w:rsidRPr="00180B8D">
              <w:rPr>
                <w:lang w:val="en-GB"/>
              </w:rPr>
              <w:t>All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98A47" w14:textId="77777777" w:rsidR="00657236" w:rsidRPr="00180B8D" w:rsidRDefault="00D655E7">
            <w:pPr>
              <w:pStyle w:val="P68B1DB1-Normal2"/>
              <w:spacing w:after="0" w:line="240" w:lineRule="auto"/>
              <w:rPr>
                <w:lang w:val="en-GB"/>
              </w:rPr>
            </w:pPr>
            <w:bookmarkStart w:id="1" w:name="_Hlk231834068"/>
            <w:r w:rsidRPr="00E36B4D">
              <w:rPr>
                <w:lang w:val="en-GB"/>
              </w:rPr>
              <w:t xml:space="preserve">Central government authorities of the </w:t>
            </w:r>
            <w:r w:rsidRPr="00E36B4D">
              <w:rPr>
                <w:lang w:val="en-GB"/>
              </w:rPr>
              <w:t>Republic of Moldova, National Bank of Moldova, including central government authorities of EU Member States, central banks</w:t>
            </w:r>
            <w:bookmarkEnd w:id="1"/>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3ABC8E" w14:textId="77777777" w:rsidR="00657236" w:rsidRPr="00180B8D" w:rsidRDefault="00D655E7">
            <w:pPr>
              <w:pStyle w:val="P68B1DB1-Normal2"/>
              <w:spacing w:after="0" w:line="240" w:lineRule="auto"/>
              <w:jc w:val="center"/>
              <w:rPr>
                <w:lang w:val="en-GB"/>
              </w:rPr>
            </w:pPr>
            <w:r w:rsidRPr="00180B8D">
              <w:rPr>
                <w:lang w:val="en-GB"/>
              </w:rPr>
              <w:t>0,5 %</w:t>
            </w:r>
          </w:p>
        </w:tc>
      </w:tr>
      <w:tr w:rsidR="00657236" w:rsidRPr="00180B8D" w14:paraId="0E1A3D9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306BC" w14:textId="77777777" w:rsidR="00657236" w:rsidRPr="00180B8D" w:rsidRDefault="00D655E7">
            <w:pPr>
              <w:pStyle w:val="P68B1DB1-Normal2"/>
              <w:spacing w:after="0" w:line="240" w:lineRule="auto"/>
              <w:jc w:val="center"/>
              <w:rPr>
                <w:lang w:val="en-GB"/>
              </w:rPr>
            </w:pPr>
            <w:r w:rsidRPr="00180B8D">
              <w:rPr>
                <w:lang w:val="en-GB"/>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E641ED" w14:textId="77777777" w:rsidR="00657236" w:rsidRPr="00180B8D" w:rsidRDefault="00D655E7">
            <w:pPr>
              <w:pStyle w:val="P68B1DB1-Normal2"/>
              <w:spacing w:after="0" w:line="240" w:lineRule="auto"/>
              <w:rPr>
                <w:lang w:val="en-GB"/>
              </w:rPr>
            </w:pPr>
            <w:r w:rsidRPr="00180B8D">
              <w:rPr>
                <w:lang w:val="en-GB"/>
              </w:rPr>
              <w:t>Credit quality step 1 to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7BDC98" w14:textId="53038961" w:rsidR="00657236" w:rsidRPr="00180B8D" w:rsidRDefault="00D655E7">
            <w:pPr>
              <w:pStyle w:val="P68B1DB1-Normal2"/>
              <w:spacing w:after="0" w:line="240" w:lineRule="auto"/>
              <w:rPr>
                <w:lang w:val="en-GB"/>
              </w:rPr>
            </w:pPr>
            <w:r w:rsidRPr="00180B8D">
              <w:rPr>
                <w:lang w:val="en-GB"/>
              </w:rPr>
              <w:t xml:space="preserve">Authorities of the central government of the Republic of Moldova, including central banks, </w:t>
            </w:r>
            <w:r w:rsidR="00DB3CEE">
              <w:rPr>
                <w:lang w:val="en-GB"/>
              </w:rPr>
              <w:t xml:space="preserve">of </w:t>
            </w:r>
            <w:r w:rsidRPr="00180B8D">
              <w:rPr>
                <w:lang w:val="en-GB"/>
              </w:rPr>
              <w:t>third countries, multilateral development banks and international organisations referred to in the regulatory provisions for the treatment of market risk under the standardised approach.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CA6F3D" w14:textId="77777777" w:rsidR="00657236" w:rsidRPr="00180B8D" w:rsidRDefault="00D655E7">
            <w:pPr>
              <w:pStyle w:val="P68B1DB1-Normal2"/>
              <w:spacing w:after="0" w:line="240" w:lineRule="auto"/>
              <w:jc w:val="center"/>
              <w:rPr>
                <w:lang w:val="en-GB"/>
              </w:rPr>
            </w:pPr>
            <w:r w:rsidRPr="00180B8D">
              <w:rPr>
                <w:lang w:val="en-GB"/>
              </w:rPr>
              <w:t>0,5 %</w:t>
            </w:r>
          </w:p>
        </w:tc>
      </w:tr>
      <w:tr w:rsidR="00657236" w:rsidRPr="00180B8D" w14:paraId="0DBF413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B9C02B" w14:textId="77777777" w:rsidR="00657236" w:rsidRPr="00180B8D" w:rsidRDefault="00D655E7">
            <w:pPr>
              <w:pStyle w:val="P68B1DB1-Normal2"/>
              <w:spacing w:after="0" w:line="240" w:lineRule="auto"/>
              <w:jc w:val="center"/>
              <w:rPr>
                <w:lang w:val="en-GB"/>
              </w:rPr>
            </w:pPr>
            <w:r w:rsidRPr="00180B8D">
              <w:rPr>
                <w:lang w:val="en-GB"/>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0E0431"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C3AC16" w14:textId="77777777" w:rsidR="00657236" w:rsidRPr="00180B8D" w:rsidRDefault="00D655E7">
            <w:pPr>
              <w:pStyle w:val="P68B1DB1-Normal2"/>
              <w:spacing w:after="0" w:line="240" w:lineRule="auto"/>
              <w:rPr>
                <w:lang w:val="en-GB"/>
              </w:rPr>
            </w:pPr>
            <w:r w:rsidRPr="00180B8D">
              <w:rPr>
                <w:lang w:val="en-GB"/>
              </w:rPr>
              <w:t>Local public authority and public sector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AD8B21" w14:textId="77777777" w:rsidR="00657236" w:rsidRPr="00180B8D" w:rsidRDefault="00D655E7">
            <w:pPr>
              <w:pStyle w:val="P68B1DB1-Normal2"/>
              <w:spacing w:after="0" w:line="240" w:lineRule="auto"/>
              <w:jc w:val="center"/>
              <w:rPr>
                <w:lang w:val="en-GB"/>
              </w:rPr>
            </w:pPr>
            <w:r w:rsidRPr="00180B8D">
              <w:rPr>
                <w:lang w:val="en-GB"/>
              </w:rPr>
              <w:t>1,0 %</w:t>
            </w:r>
          </w:p>
        </w:tc>
      </w:tr>
      <w:tr w:rsidR="00657236" w:rsidRPr="00180B8D" w14:paraId="7DA4E12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36893D" w14:textId="77777777" w:rsidR="00657236" w:rsidRPr="00180B8D" w:rsidRDefault="00D655E7">
            <w:pPr>
              <w:pStyle w:val="P68B1DB1-Normal2"/>
              <w:spacing w:after="0" w:line="240" w:lineRule="auto"/>
              <w:jc w:val="center"/>
              <w:rPr>
                <w:lang w:val="en-GB"/>
              </w:rPr>
            </w:pPr>
            <w:r w:rsidRPr="00180B8D">
              <w:rPr>
                <w:lang w:val="en-GB"/>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3BDF53"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F337DE" w14:textId="77777777" w:rsidR="00657236" w:rsidRPr="00180B8D" w:rsidRDefault="00D655E7">
            <w:pPr>
              <w:pStyle w:val="P68B1DB1-Normal2"/>
              <w:spacing w:after="0" w:line="240" w:lineRule="auto"/>
              <w:rPr>
                <w:lang w:val="en-GB"/>
              </w:rPr>
            </w:pPr>
            <w:r w:rsidRPr="00180B8D">
              <w:rPr>
                <w:lang w:val="en-GB"/>
              </w:rPr>
              <w:t>Financial sector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B2E26B" w14:textId="77777777" w:rsidR="00657236" w:rsidRPr="00180B8D" w:rsidRDefault="00D655E7">
            <w:pPr>
              <w:pStyle w:val="P68B1DB1-Normal2"/>
              <w:spacing w:after="0" w:line="240" w:lineRule="auto"/>
              <w:jc w:val="center"/>
              <w:rPr>
                <w:lang w:val="en-GB"/>
              </w:rPr>
            </w:pPr>
            <w:r w:rsidRPr="00180B8D">
              <w:rPr>
                <w:lang w:val="en-GB"/>
              </w:rPr>
              <w:t>5,0 %</w:t>
            </w:r>
          </w:p>
        </w:tc>
      </w:tr>
      <w:tr w:rsidR="00657236" w:rsidRPr="00180B8D" w14:paraId="45FC045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5DD362" w14:textId="77777777" w:rsidR="00657236" w:rsidRPr="00180B8D" w:rsidRDefault="00D655E7">
            <w:pPr>
              <w:pStyle w:val="P68B1DB1-Normal2"/>
              <w:spacing w:after="0" w:line="240" w:lineRule="auto"/>
              <w:jc w:val="center"/>
              <w:rPr>
                <w:lang w:val="en-GB"/>
              </w:rPr>
            </w:pPr>
            <w:r w:rsidRPr="00180B8D">
              <w:rPr>
                <w:lang w:val="en-GB"/>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831E28"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28D047" w14:textId="35803FA3" w:rsidR="00657236" w:rsidRPr="00180B8D" w:rsidRDefault="00D655E7">
            <w:pPr>
              <w:pStyle w:val="P68B1DB1-Normal2"/>
              <w:spacing w:after="0" w:line="240" w:lineRule="auto"/>
              <w:rPr>
                <w:lang w:val="en-GB"/>
              </w:rPr>
            </w:pPr>
            <w:r w:rsidRPr="00DB3CEE">
              <w:rPr>
                <w:lang w:val="en-GB"/>
              </w:rPr>
              <w:t>Basic materials, energy, industrial</w:t>
            </w:r>
            <w:r w:rsidR="00F96E77">
              <w:rPr>
                <w:lang w:val="en-GB"/>
              </w:rPr>
              <w:t>s</w:t>
            </w:r>
            <w:r w:rsidRPr="00DB3CEE">
              <w:rPr>
                <w:lang w:val="en-GB"/>
              </w:rPr>
              <w:t>, agriculture, manufacturing, mining and quarrying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B1546" w14:textId="77777777" w:rsidR="00657236" w:rsidRPr="00180B8D" w:rsidRDefault="00D655E7">
            <w:pPr>
              <w:pStyle w:val="P68B1DB1-Normal2"/>
              <w:spacing w:after="0" w:line="240" w:lineRule="auto"/>
              <w:jc w:val="center"/>
              <w:rPr>
                <w:lang w:val="en-GB"/>
              </w:rPr>
            </w:pPr>
            <w:r w:rsidRPr="00180B8D">
              <w:rPr>
                <w:lang w:val="en-GB"/>
              </w:rPr>
              <w:t>3,0 %</w:t>
            </w:r>
          </w:p>
        </w:tc>
      </w:tr>
      <w:tr w:rsidR="00657236" w:rsidRPr="00180B8D" w14:paraId="5AB660C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3F0BEA" w14:textId="77777777" w:rsidR="00657236" w:rsidRPr="00180B8D" w:rsidRDefault="00D655E7">
            <w:pPr>
              <w:pStyle w:val="P68B1DB1-Normal2"/>
              <w:spacing w:after="0" w:line="240" w:lineRule="auto"/>
              <w:jc w:val="center"/>
              <w:rPr>
                <w:lang w:val="en-GB"/>
              </w:rPr>
            </w:pPr>
            <w:r w:rsidRPr="00180B8D">
              <w:rPr>
                <w:lang w:val="en-GB"/>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DB90472"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EC6DBD" w14:textId="1018909B" w:rsidR="00657236" w:rsidRPr="00180B8D" w:rsidRDefault="00D655E7">
            <w:pPr>
              <w:pStyle w:val="P68B1DB1-Normal2"/>
              <w:spacing w:after="0" w:line="240" w:lineRule="auto"/>
              <w:rPr>
                <w:lang w:val="en-GB"/>
              </w:rPr>
            </w:pPr>
            <w:r w:rsidRPr="00180B8D">
              <w:rPr>
                <w:lang w:val="en-GB"/>
              </w:rPr>
              <w:t>Consumer goods and services, transport</w:t>
            </w:r>
            <w:r w:rsidR="00DB3CEE">
              <w:rPr>
                <w:lang w:val="en-GB"/>
              </w:rPr>
              <w:t>ation</w:t>
            </w:r>
            <w:r w:rsidRPr="00180B8D">
              <w:rPr>
                <w:lang w:val="en-GB"/>
              </w:rPr>
              <w:t xml:space="preserve"> and storage, administrative and support </w:t>
            </w:r>
            <w:r w:rsidR="00DB3CEE" w:rsidRPr="00180B8D">
              <w:rPr>
                <w:lang w:val="en-GB"/>
              </w:rPr>
              <w:t xml:space="preserve">service </w:t>
            </w:r>
            <w:r w:rsidRPr="00180B8D">
              <w:rPr>
                <w:lang w:val="en-GB"/>
              </w:rPr>
              <w:t>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3AF42D" w14:textId="77777777" w:rsidR="00657236" w:rsidRPr="00180B8D" w:rsidRDefault="00D655E7">
            <w:pPr>
              <w:pStyle w:val="P68B1DB1-Normal2"/>
              <w:spacing w:after="0" w:line="240" w:lineRule="auto"/>
              <w:jc w:val="center"/>
              <w:rPr>
                <w:lang w:val="en-GB"/>
              </w:rPr>
            </w:pPr>
            <w:r w:rsidRPr="00180B8D">
              <w:rPr>
                <w:lang w:val="en-GB"/>
              </w:rPr>
              <w:t>3,0 %</w:t>
            </w:r>
          </w:p>
        </w:tc>
      </w:tr>
      <w:tr w:rsidR="00657236" w:rsidRPr="00180B8D" w14:paraId="4E754F2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AA9013" w14:textId="77777777" w:rsidR="00657236" w:rsidRPr="00180B8D" w:rsidRDefault="00D655E7">
            <w:pPr>
              <w:pStyle w:val="P68B1DB1-Normal2"/>
              <w:spacing w:after="0" w:line="240" w:lineRule="auto"/>
              <w:jc w:val="center"/>
              <w:rPr>
                <w:lang w:val="en-GB"/>
              </w:rPr>
            </w:pPr>
            <w:r w:rsidRPr="00180B8D">
              <w:rPr>
                <w:lang w:val="en-GB"/>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765F914"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113562" w14:textId="77777777" w:rsidR="00657236" w:rsidRPr="00180B8D" w:rsidRDefault="00D655E7">
            <w:pPr>
              <w:pStyle w:val="P68B1DB1-Normal2"/>
              <w:spacing w:after="0" w:line="240" w:lineRule="auto"/>
              <w:rPr>
                <w:lang w:val="en-GB"/>
              </w:rPr>
            </w:pPr>
            <w:r w:rsidRPr="00180B8D">
              <w:rPr>
                <w:lang w:val="en-GB"/>
              </w:rPr>
              <w:t>Technology, telecommunications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399E28" w14:textId="77777777" w:rsidR="00657236" w:rsidRPr="00180B8D" w:rsidRDefault="00D655E7">
            <w:pPr>
              <w:pStyle w:val="P68B1DB1-Normal2"/>
              <w:spacing w:after="0" w:line="240" w:lineRule="auto"/>
              <w:jc w:val="center"/>
              <w:rPr>
                <w:lang w:val="en-GB"/>
              </w:rPr>
            </w:pPr>
            <w:r w:rsidRPr="00180B8D">
              <w:rPr>
                <w:lang w:val="en-GB"/>
              </w:rPr>
              <w:t>2,0 %</w:t>
            </w:r>
          </w:p>
        </w:tc>
      </w:tr>
      <w:tr w:rsidR="00657236" w:rsidRPr="00180B8D" w14:paraId="76C101F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6A7738" w14:textId="77777777" w:rsidR="00657236" w:rsidRPr="00180B8D" w:rsidRDefault="00D655E7">
            <w:pPr>
              <w:pStyle w:val="P68B1DB1-Normal2"/>
              <w:spacing w:after="0" w:line="240" w:lineRule="auto"/>
              <w:jc w:val="center"/>
              <w:rPr>
                <w:lang w:val="en-GB"/>
              </w:rPr>
            </w:pPr>
            <w:r w:rsidRPr="00180B8D">
              <w:rPr>
                <w:lang w:val="en-GB"/>
              </w:rPr>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06C4FF8"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44D8E0" w14:textId="77777777" w:rsidR="00657236" w:rsidRPr="00180B8D" w:rsidRDefault="00D655E7">
            <w:pPr>
              <w:pStyle w:val="P68B1DB1-Normal2"/>
              <w:spacing w:after="0" w:line="240" w:lineRule="auto"/>
              <w:rPr>
                <w:lang w:val="en-GB"/>
              </w:rPr>
            </w:pPr>
            <w:r w:rsidRPr="00180B8D">
              <w:rPr>
                <w:lang w:val="en-GB"/>
              </w:rPr>
              <w:t>Health care, utilities, professional and technical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A40E5EA" w14:textId="77777777" w:rsidR="00657236" w:rsidRPr="00180B8D" w:rsidRDefault="00D655E7">
            <w:pPr>
              <w:pStyle w:val="P68B1DB1-Normal2"/>
              <w:spacing w:after="0" w:line="240" w:lineRule="auto"/>
              <w:jc w:val="center"/>
              <w:rPr>
                <w:lang w:val="en-GB"/>
              </w:rPr>
            </w:pPr>
            <w:r w:rsidRPr="00180B8D">
              <w:rPr>
                <w:lang w:val="en-GB"/>
              </w:rPr>
              <w:t>1,5 %</w:t>
            </w:r>
          </w:p>
        </w:tc>
      </w:tr>
      <w:tr w:rsidR="00657236" w:rsidRPr="00180B8D" w14:paraId="16903E6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76721F" w14:textId="77777777" w:rsidR="00657236" w:rsidRPr="00180B8D" w:rsidRDefault="00D655E7">
            <w:pPr>
              <w:pStyle w:val="P68B1DB1-Normal2"/>
              <w:spacing w:after="0" w:line="240" w:lineRule="auto"/>
              <w:jc w:val="center"/>
              <w:rPr>
                <w:lang w:val="en-GB"/>
              </w:rPr>
            </w:pPr>
            <w:r w:rsidRPr="00180B8D">
              <w:rPr>
                <w:lang w:val="en-GB"/>
              </w:rPr>
              <w:t>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04EB0D"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BA18C1" w14:textId="77777777" w:rsidR="00657236" w:rsidRPr="00180B8D" w:rsidRDefault="00D655E7">
            <w:pPr>
              <w:pStyle w:val="P68B1DB1-Normal2"/>
              <w:spacing w:after="0" w:line="240" w:lineRule="auto"/>
              <w:rPr>
                <w:lang w:val="en-GB"/>
              </w:rPr>
            </w:pPr>
            <w:r w:rsidRPr="00180B8D">
              <w:rPr>
                <w:lang w:val="en-GB"/>
              </w:rPr>
              <w:t>Covered bonds issued by banks established in EU Member States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548573" w14:textId="77777777" w:rsidR="00657236" w:rsidRPr="00180B8D" w:rsidRDefault="00D655E7">
            <w:pPr>
              <w:pStyle w:val="P68B1DB1-Normal2"/>
              <w:spacing w:after="0" w:line="240" w:lineRule="auto"/>
              <w:jc w:val="center"/>
              <w:rPr>
                <w:lang w:val="en-GB"/>
              </w:rPr>
            </w:pPr>
            <w:r w:rsidRPr="00180B8D">
              <w:rPr>
                <w:lang w:val="en-GB"/>
              </w:rPr>
              <w:t>1,0 %</w:t>
            </w:r>
          </w:p>
        </w:tc>
      </w:tr>
      <w:tr w:rsidR="00657236" w:rsidRPr="00180B8D" w14:paraId="4B4B8464" w14:textId="77777777">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5F285" w14:textId="77777777" w:rsidR="00657236" w:rsidRPr="00180B8D" w:rsidRDefault="00D655E7">
            <w:pPr>
              <w:pStyle w:val="P68B1DB1-Normal2"/>
              <w:spacing w:after="0" w:line="240" w:lineRule="auto"/>
              <w:jc w:val="center"/>
              <w:rPr>
                <w:lang w:val="en-GB"/>
              </w:rPr>
            </w:pPr>
            <w:r w:rsidRPr="00180B8D">
              <w:rPr>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25A5A4" w14:textId="77777777" w:rsidR="00657236" w:rsidRPr="00180B8D" w:rsidRDefault="00D655E7">
            <w:pPr>
              <w:pStyle w:val="P68B1DB1-Normal2"/>
              <w:spacing w:after="0" w:line="240" w:lineRule="auto"/>
              <w:rPr>
                <w:lang w:val="en-GB"/>
              </w:rPr>
            </w:pPr>
            <w:r w:rsidRPr="00180B8D">
              <w:rPr>
                <w:lang w:val="en-GB"/>
              </w:rPr>
              <w:t>Credit quality step 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506FCD" w14:textId="77777777" w:rsidR="00657236" w:rsidRPr="00180B8D" w:rsidRDefault="00D655E7">
            <w:pPr>
              <w:pStyle w:val="P68B1DB1-Normal2"/>
              <w:spacing w:after="0" w:line="240" w:lineRule="auto"/>
              <w:rPr>
                <w:lang w:val="en-GB"/>
              </w:rPr>
            </w:pPr>
            <w:r w:rsidRPr="00180B8D">
              <w:rPr>
                <w:lang w:val="en-GB"/>
              </w:rPr>
              <w:t>Covered bonds issued by banks in third countries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DDE29E" w14:textId="77777777" w:rsidR="00657236" w:rsidRPr="00180B8D" w:rsidRDefault="00D655E7">
            <w:pPr>
              <w:pStyle w:val="P68B1DB1-Normal2"/>
              <w:spacing w:after="0" w:line="240" w:lineRule="auto"/>
              <w:jc w:val="center"/>
              <w:rPr>
                <w:lang w:val="en-GB"/>
              </w:rPr>
            </w:pPr>
            <w:r w:rsidRPr="00180B8D">
              <w:rPr>
                <w:lang w:val="en-GB"/>
              </w:rPr>
              <w:t>1,5 %</w:t>
            </w:r>
          </w:p>
        </w:tc>
      </w:tr>
      <w:tr w:rsidR="00657236" w:rsidRPr="00180B8D" w14:paraId="4F77475E" w14:textId="77777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B22C4A0"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DDEEDC" w14:textId="77777777" w:rsidR="00657236" w:rsidRPr="00180B8D" w:rsidRDefault="00D655E7">
            <w:pPr>
              <w:pStyle w:val="P68B1DB1-Normal2"/>
              <w:spacing w:after="0" w:line="240" w:lineRule="auto"/>
              <w:rPr>
                <w:lang w:val="en-GB"/>
              </w:rPr>
            </w:pPr>
            <w:r w:rsidRPr="00180B8D">
              <w:rPr>
                <w:lang w:val="en-GB"/>
              </w:rPr>
              <w:t>Credit quality step 2-3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0216BBA"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2E9783" w14:textId="77777777" w:rsidR="00657236" w:rsidRPr="00180B8D" w:rsidRDefault="00D655E7">
            <w:pPr>
              <w:pStyle w:val="P68B1DB1-Normal2"/>
              <w:spacing w:after="0" w:line="240" w:lineRule="auto"/>
              <w:jc w:val="center"/>
              <w:rPr>
                <w:lang w:val="en-GB"/>
              </w:rPr>
            </w:pPr>
            <w:r w:rsidRPr="00180B8D">
              <w:rPr>
                <w:lang w:val="en-GB"/>
              </w:rPr>
              <w:t>2,5 %</w:t>
            </w:r>
          </w:p>
        </w:tc>
      </w:tr>
      <w:tr w:rsidR="00657236" w:rsidRPr="00180B8D" w14:paraId="66C938C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F9C5A1" w14:textId="77777777" w:rsidR="00657236" w:rsidRPr="00180B8D" w:rsidRDefault="00D655E7">
            <w:pPr>
              <w:pStyle w:val="P68B1DB1-Normal2"/>
              <w:spacing w:after="0" w:line="240" w:lineRule="auto"/>
              <w:jc w:val="center"/>
              <w:rPr>
                <w:lang w:val="en-GB"/>
              </w:rPr>
            </w:pPr>
            <w:r w:rsidRPr="00180B8D">
              <w:rPr>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F7B37" w14:textId="77777777" w:rsidR="00657236" w:rsidRPr="00180B8D" w:rsidRDefault="00D655E7">
            <w:pPr>
              <w:pStyle w:val="P68B1DB1-Normal2"/>
              <w:spacing w:after="0" w:line="240" w:lineRule="auto"/>
              <w:rPr>
                <w:lang w:val="en-GB"/>
              </w:rPr>
            </w:pPr>
            <w:r w:rsidRPr="00180B8D">
              <w:rPr>
                <w:lang w:val="en-GB"/>
              </w:rPr>
              <w:t>Credit quality step 1 to 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C6E2FD" w14:textId="77777777" w:rsidR="00657236" w:rsidRPr="00180B8D" w:rsidRDefault="00D655E7">
            <w:pPr>
              <w:pStyle w:val="P68B1DB1-Normal2"/>
              <w:spacing w:after="0" w:line="240" w:lineRule="auto"/>
              <w:rPr>
                <w:lang w:val="en-GB"/>
              </w:rPr>
            </w:pPr>
            <w:r w:rsidRPr="00180B8D">
              <w:rPr>
                <w:lang w:val="en-GB"/>
              </w:rPr>
              <w:t>Qualifying indices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FF0756" w14:textId="77777777" w:rsidR="00657236" w:rsidRPr="00180B8D" w:rsidRDefault="00D655E7">
            <w:pPr>
              <w:pStyle w:val="P68B1DB1-Normal2"/>
              <w:spacing w:after="0" w:line="240" w:lineRule="auto"/>
              <w:jc w:val="center"/>
              <w:rPr>
                <w:lang w:val="en-GB"/>
              </w:rPr>
            </w:pPr>
            <w:r w:rsidRPr="00180B8D">
              <w:rPr>
                <w:lang w:val="en-GB"/>
              </w:rPr>
              <w:t>1,5 %</w:t>
            </w:r>
          </w:p>
        </w:tc>
      </w:tr>
      <w:tr w:rsidR="00657236" w:rsidRPr="00180B8D" w14:paraId="786BCB8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94B9AF" w14:textId="77777777" w:rsidR="00657236" w:rsidRPr="00180B8D" w:rsidRDefault="00D655E7">
            <w:pPr>
              <w:pStyle w:val="P68B1DB1-Normal2"/>
              <w:spacing w:after="0" w:line="240" w:lineRule="auto"/>
              <w:jc w:val="center"/>
              <w:rPr>
                <w:lang w:val="en-GB"/>
              </w:rPr>
            </w:pPr>
            <w:r w:rsidRPr="00180B8D">
              <w:rPr>
                <w:lang w:val="en-GB"/>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A444AA" w14:textId="77777777" w:rsidR="00657236" w:rsidRPr="00180B8D" w:rsidRDefault="00D655E7">
            <w:pPr>
              <w:pStyle w:val="P68B1DB1-Normal2"/>
              <w:spacing w:after="0" w:line="240" w:lineRule="auto"/>
              <w:rPr>
                <w:lang w:val="en-GB"/>
              </w:rPr>
            </w:pPr>
            <w:r w:rsidRPr="00180B8D">
              <w:rPr>
                <w:lang w:val="en-GB"/>
              </w:rPr>
              <w:t>Credit quality step 4 to 6 and unrated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EB22A5" w14:textId="0168B4B5" w:rsidR="00657236" w:rsidRPr="00180B8D" w:rsidRDefault="00D655E7">
            <w:pPr>
              <w:pStyle w:val="P68B1DB1-Normal2"/>
              <w:spacing w:after="0" w:line="240" w:lineRule="auto"/>
              <w:rPr>
                <w:lang w:val="en-GB"/>
              </w:rPr>
            </w:pPr>
            <w:r w:rsidRPr="00180B8D">
              <w:rPr>
                <w:lang w:val="en-GB"/>
              </w:rPr>
              <w:t xml:space="preserve">Authorities of the central government of the Republic of Moldova, including central banks, </w:t>
            </w:r>
            <w:r w:rsidR="00DB3CEE">
              <w:rPr>
                <w:lang w:val="en-GB"/>
              </w:rPr>
              <w:t xml:space="preserve">of </w:t>
            </w:r>
            <w:r w:rsidRPr="00180B8D">
              <w:rPr>
                <w:lang w:val="en-GB"/>
              </w:rPr>
              <w:t>third countries, multilateral development banks and international organisations referred to in the regulatory provisions for the treatment of market risk under the standardised approach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9CFB91" w14:textId="77777777" w:rsidR="00657236" w:rsidRPr="00180B8D" w:rsidRDefault="00D655E7">
            <w:pPr>
              <w:pStyle w:val="P68B1DB1-Normal2"/>
              <w:spacing w:after="0" w:line="240" w:lineRule="auto"/>
              <w:jc w:val="center"/>
              <w:rPr>
                <w:lang w:val="en-GB"/>
              </w:rPr>
            </w:pPr>
            <w:r w:rsidRPr="00180B8D">
              <w:rPr>
                <w:lang w:val="en-GB"/>
              </w:rPr>
              <w:t>2,0 %</w:t>
            </w:r>
          </w:p>
        </w:tc>
      </w:tr>
      <w:tr w:rsidR="00657236" w:rsidRPr="00180B8D" w14:paraId="2A772D6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6C02C9" w14:textId="77777777" w:rsidR="00657236" w:rsidRPr="00180B8D" w:rsidRDefault="00D655E7">
            <w:pPr>
              <w:pStyle w:val="P68B1DB1-Normal2"/>
              <w:spacing w:after="0" w:line="240" w:lineRule="auto"/>
              <w:jc w:val="center"/>
              <w:rPr>
                <w:lang w:val="en-GB"/>
              </w:rPr>
            </w:pPr>
            <w:r w:rsidRPr="00180B8D">
              <w:rPr>
                <w:lang w:val="en-GB"/>
              </w:rPr>
              <w:t>13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CB3C5E3"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BB92BF" w14:textId="77777777" w:rsidR="00657236" w:rsidRPr="00180B8D" w:rsidRDefault="00D655E7">
            <w:pPr>
              <w:pStyle w:val="P68B1DB1-Normal2"/>
              <w:spacing w:after="0" w:line="240" w:lineRule="auto"/>
              <w:rPr>
                <w:lang w:val="en-GB"/>
              </w:rPr>
            </w:pPr>
            <w:r w:rsidRPr="00180B8D">
              <w:rPr>
                <w:lang w:val="en-GB"/>
              </w:rPr>
              <w:t>Local public authority and public sector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F977D7" w14:textId="77777777" w:rsidR="00657236" w:rsidRPr="00180B8D" w:rsidRDefault="00D655E7">
            <w:pPr>
              <w:pStyle w:val="P68B1DB1-Normal2"/>
              <w:spacing w:after="0" w:line="240" w:lineRule="auto"/>
              <w:jc w:val="center"/>
              <w:rPr>
                <w:lang w:val="en-GB"/>
              </w:rPr>
            </w:pPr>
            <w:r w:rsidRPr="00180B8D">
              <w:rPr>
                <w:lang w:val="en-GB"/>
              </w:rPr>
              <w:t>4,0 %</w:t>
            </w:r>
          </w:p>
        </w:tc>
      </w:tr>
      <w:tr w:rsidR="00657236" w:rsidRPr="00180B8D" w14:paraId="789FE16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158808" w14:textId="77777777" w:rsidR="00657236" w:rsidRPr="00180B8D" w:rsidRDefault="00D655E7">
            <w:pPr>
              <w:pStyle w:val="P68B1DB1-Normal2"/>
              <w:spacing w:after="0" w:line="240" w:lineRule="auto"/>
              <w:jc w:val="center"/>
              <w:rPr>
                <w:lang w:val="en-GB"/>
              </w:rPr>
            </w:pPr>
            <w:r w:rsidRPr="00180B8D">
              <w:rPr>
                <w:lang w:val="en-GB"/>
              </w:rPr>
              <w:t>14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107CEB"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94E6F7" w14:textId="77777777" w:rsidR="00657236" w:rsidRPr="00180B8D" w:rsidRDefault="00D655E7">
            <w:pPr>
              <w:pStyle w:val="P68B1DB1-Normal2"/>
              <w:spacing w:after="0" w:line="240" w:lineRule="auto"/>
              <w:rPr>
                <w:lang w:val="en-GB"/>
              </w:rPr>
            </w:pPr>
            <w:r w:rsidRPr="00180B8D">
              <w:rPr>
                <w:lang w:val="en-GB"/>
              </w:rPr>
              <w:t>Financial sector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C6D4FEC" w14:textId="77777777" w:rsidR="00657236" w:rsidRPr="00180B8D" w:rsidRDefault="00D655E7">
            <w:pPr>
              <w:pStyle w:val="P68B1DB1-Normal2"/>
              <w:spacing w:after="0" w:line="240" w:lineRule="auto"/>
              <w:jc w:val="center"/>
              <w:rPr>
                <w:lang w:val="en-GB"/>
              </w:rPr>
            </w:pPr>
            <w:r w:rsidRPr="00180B8D">
              <w:rPr>
                <w:lang w:val="en-GB"/>
              </w:rPr>
              <w:t>12,0 %</w:t>
            </w:r>
          </w:p>
        </w:tc>
      </w:tr>
      <w:tr w:rsidR="00657236" w:rsidRPr="00180B8D" w14:paraId="3BDFF04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982ADB" w14:textId="77777777" w:rsidR="00657236" w:rsidRPr="00180B8D" w:rsidRDefault="00D655E7">
            <w:pPr>
              <w:pStyle w:val="P68B1DB1-Normal2"/>
              <w:spacing w:after="0" w:line="240" w:lineRule="auto"/>
              <w:jc w:val="center"/>
              <w:rPr>
                <w:lang w:val="en-GB"/>
              </w:rPr>
            </w:pPr>
            <w:r w:rsidRPr="00180B8D">
              <w:rPr>
                <w:lang w:val="en-GB"/>
              </w:rPr>
              <w:t>15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B0CAA1"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5A6FBC" w14:textId="141627E2" w:rsidR="00657236" w:rsidRPr="00180B8D" w:rsidRDefault="00D655E7">
            <w:pPr>
              <w:pStyle w:val="P68B1DB1-Normal2"/>
              <w:spacing w:after="0" w:line="240" w:lineRule="auto"/>
              <w:rPr>
                <w:lang w:val="en-GB"/>
              </w:rPr>
            </w:pPr>
            <w:r w:rsidRPr="00180B8D">
              <w:rPr>
                <w:lang w:val="en-GB"/>
              </w:rPr>
              <w:t>Basic materials, energy, industrial</w:t>
            </w:r>
            <w:r w:rsidR="00F96E77">
              <w:rPr>
                <w:lang w:val="en-GB"/>
              </w:rPr>
              <w:t>s</w:t>
            </w:r>
            <w:r w:rsidRPr="00180B8D">
              <w:rPr>
                <w:lang w:val="en-GB"/>
              </w:rPr>
              <w:t>, agriculture, manufacturing, mining and quarrying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7D52D8" w14:textId="77777777" w:rsidR="00657236" w:rsidRPr="00180B8D" w:rsidRDefault="00D655E7">
            <w:pPr>
              <w:pStyle w:val="P68B1DB1-Normal2"/>
              <w:spacing w:after="0" w:line="240" w:lineRule="auto"/>
              <w:jc w:val="center"/>
              <w:rPr>
                <w:lang w:val="en-GB"/>
              </w:rPr>
            </w:pPr>
            <w:r w:rsidRPr="00180B8D">
              <w:rPr>
                <w:lang w:val="en-GB"/>
              </w:rPr>
              <w:t>7,0 %</w:t>
            </w:r>
          </w:p>
        </w:tc>
      </w:tr>
      <w:tr w:rsidR="00657236" w:rsidRPr="00180B8D" w14:paraId="45DD1FB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10A18B" w14:textId="77777777" w:rsidR="00657236" w:rsidRPr="00180B8D" w:rsidRDefault="00D655E7">
            <w:pPr>
              <w:pStyle w:val="P68B1DB1-Normal2"/>
              <w:spacing w:after="0" w:line="240" w:lineRule="auto"/>
              <w:jc w:val="center"/>
              <w:rPr>
                <w:lang w:val="en-GB"/>
              </w:rPr>
            </w:pPr>
            <w:r w:rsidRPr="00180B8D">
              <w:rPr>
                <w:lang w:val="en-GB"/>
              </w:rPr>
              <w:t>16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120041"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3A07E48" w14:textId="11CF9889" w:rsidR="00657236" w:rsidRPr="00180B8D" w:rsidRDefault="00D655E7">
            <w:pPr>
              <w:pStyle w:val="P68B1DB1-Normal2"/>
              <w:spacing w:after="0" w:line="240" w:lineRule="auto"/>
              <w:rPr>
                <w:lang w:val="en-GB"/>
              </w:rPr>
            </w:pPr>
            <w:r w:rsidRPr="00180B8D">
              <w:rPr>
                <w:lang w:val="en-GB"/>
              </w:rPr>
              <w:t xml:space="preserve">Consumer goods and </w:t>
            </w:r>
            <w:r w:rsidRPr="00180B8D">
              <w:rPr>
                <w:lang w:val="en-GB"/>
              </w:rPr>
              <w:t>services, transport</w:t>
            </w:r>
            <w:r w:rsidR="00DB3CEE">
              <w:rPr>
                <w:lang w:val="en-GB"/>
              </w:rPr>
              <w:t>ation</w:t>
            </w:r>
            <w:r w:rsidRPr="00180B8D">
              <w:rPr>
                <w:lang w:val="en-GB"/>
              </w:rPr>
              <w:t xml:space="preserve"> and storage, administrative and support </w:t>
            </w:r>
            <w:r w:rsidR="00DB3CEE" w:rsidRPr="00180B8D">
              <w:rPr>
                <w:lang w:val="en-GB"/>
              </w:rPr>
              <w:t xml:space="preserve">service </w:t>
            </w:r>
            <w:r w:rsidRPr="00180B8D">
              <w:rPr>
                <w:lang w:val="en-GB"/>
              </w:rPr>
              <w:t>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193A44" w14:textId="77777777" w:rsidR="00657236" w:rsidRPr="00180B8D" w:rsidRDefault="00D655E7">
            <w:pPr>
              <w:pStyle w:val="P68B1DB1-Normal2"/>
              <w:spacing w:after="0" w:line="240" w:lineRule="auto"/>
              <w:jc w:val="center"/>
              <w:rPr>
                <w:lang w:val="en-GB"/>
              </w:rPr>
            </w:pPr>
            <w:r w:rsidRPr="00180B8D">
              <w:rPr>
                <w:lang w:val="en-GB"/>
              </w:rPr>
              <w:t>8,5 %</w:t>
            </w:r>
          </w:p>
        </w:tc>
      </w:tr>
      <w:tr w:rsidR="00657236" w:rsidRPr="00180B8D" w14:paraId="7E466FC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58CBC" w14:textId="77777777" w:rsidR="00657236" w:rsidRPr="00180B8D" w:rsidRDefault="00D655E7">
            <w:pPr>
              <w:pStyle w:val="P68B1DB1-Normal2"/>
              <w:spacing w:after="0" w:line="240" w:lineRule="auto"/>
              <w:jc w:val="center"/>
              <w:rPr>
                <w:lang w:val="en-GB"/>
              </w:rPr>
            </w:pPr>
            <w:r w:rsidRPr="00180B8D">
              <w:rPr>
                <w:lang w:val="en-GB"/>
              </w:rPr>
              <w:t>17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8C4F46C"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18AD6" w14:textId="77777777" w:rsidR="00657236" w:rsidRPr="00180B8D" w:rsidRDefault="00D655E7">
            <w:pPr>
              <w:pStyle w:val="P68B1DB1-Normal2"/>
              <w:spacing w:after="0" w:line="240" w:lineRule="auto"/>
              <w:rPr>
                <w:lang w:val="en-GB"/>
              </w:rPr>
            </w:pPr>
            <w:r w:rsidRPr="00180B8D">
              <w:rPr>
                <w:lang w:val="en-GB"/>
              </w:rPr>
              <w:t>Technology, telecommunications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97DEAE" w14:textId="77777777" w:rsidR="00657236" w:rsidRPr="00180B8D" w:rsidRDefault="00D655E7">
            <w:pPr>
              <w:pStyle w:val="P68B1DB1-Normal2"/>
              <w:spacing w:after="0" w:line="240" w:lineRule="auto"/>
              <w:jc w:val="center"/>
              <w:rPr>
                <w:lang w:val="en-GB"/>
              </w:rPr>
            </w:pPr>
            <w:r w:rsidRPr="00180B8D">
              <w:rPr>
                <w:lang w:val="en-GB"/>
              </w:rPr>
              <w:t>5,5 %</w:t>
            </w:r>
          </w:p>
        </w:tc>
      </w:tr>
      <w:tr w:rsidR="00657236" w:rsidRPr="00180B8D" w14:paraId="15F3453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3A484E" w14:textId="77777777" w:rsidR="00657236" w:rsidRPr="00180B8D" w:rsidRDefault="00D655E7">
            <w:pPr>
              <w:pStyle w:val="P68B1DB1-Normal2"/>
              <w:spacing w:after="0" w:line="240" w:lineRule="auto"/>
              <w:jc w:val="center"/>
              <w:rPr>
                <w:lang w:val="en-GB"/>
              </w:rPr>
            </w:pPr>
            <w:r w:rsidRPr="00180B8D">
              <w:rPr>
                <w:lang w:val="en-GB"/>
              </w:rPr>
              <w:t>18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F4C8A8"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C2934C" w14:textId="77777777" w:rsidR="00657236" w:rsidRPr="00180B8D" w:rsidRDefault="00D655E7">
            <w:pPr>
              <w:pStyle w:val="P68B1DB1-Normal2"/>
              <w:spacing w:after="0" w:line="240" w:lineRule="auto"/>
              <w:rPr>
                <w:lang w:val="en-GB"/>
              </w:rPr>
            </w:pPr>
            <w:r w:rsidRPr="00180B8D">
              <w:rPr>
                <w:lang w:val="en-GB"/>
              </w:rPr>
              <w:t>Health care, utilities, professional and technical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999A246" w14:textId="77777777" w:rsidR="00657236" w:rsidRPr="00180B8D" w:rsidRDefault="00D655E7">
            <w:pPr>
              <w:pStyle w:val="P68B1DB1-Normal2"/>
              <w:spacing w:after="0" w:line="240" w:lineRule="auto"/>
              <w:jc w:val="center"/>
              <w:rPr>
                <w:lang w:val="en-GB"/>
              </w:rPr>
            </w:pPr>
            <w:r w:rsidRPr="00180B8D">
              <w:rPr>
                <w:lang w:val="en-GB"/>
              </w:rPr>
              <w:t>5,0 %</w:t>
            </w:r>
          </w:p>
        </w:tc>
      </w:tr>
      <w:tr w:rsidR="00657236" w:rsidRPr="00180B8D" w14:paraId="0A779A8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2936A" w14:textId="77777777" w:rsidR="00657236" w:rsidRPr="00180B8D" w:rsidRDefault="00D655E7">
            <w:pPr>
              <w:pStyle w:val="P68B1DB1-Normal2"/>
              <w:spacing w:after="0" w:line="240" w:lineRule="auto"/>
              <w:jc w:val="center"/>
              <w:rPr>
                <w:lang w:val="en-GB"/>
              </w:rPr>
            </w:pPr>
            <w:r w:rsidRPr="00180B8D">
              <w:rPr>
                <w:lang w:val="en-GB"/>
              </w:rPr>
              <w:t>19</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DCE13D6"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DBD9C5" w14:textId="77777777" w:rsidR="00657236" w:rsidRPr="00180B8D" w:rsidRDefault="00D655E7">
            <w:pPr>
              <w:pStyle w:val="P68B1DB1-Normal2"/>
              <w:spacing w:after="0" w:line="240" w:lineRule="auto"/>
              <w:rPr>
                <w:lang w:val="en-GB"/>
              </w:rPr>
            </w:pPr>
            <w:r w:rsidRPr="00180B8D">
              <w:rPr>
                <w:lang w:val="en-GB"/>
              </w:rPr>
              <w:t>Qualifying indices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3E6364" w14:textId="77777777" w:rsidR="00657236" w:rsidRPr="00180B8D" w:rsidRDefault="00D655E7">
            <w:pPr>
              <w:pStyle w:val="P68B1DB1-Normal2"/>
              <w:spacing w:after="0" w:line="240" w:lineRule="auto"/>
              <w:jc w:val="center"/>
              <w:rPr>
                <w:lang w:val="en-GB"/>
              </w:rPr>
            </w:pPr>
            <w:r w:rsidRPr="00180B8D">
              <w:rPr>
                <w:lang w:val="en-GB"/>
              </w:rPr>
              <w:t>5,0 %</w:t>
            </w:r>
          </w:p>
        </w:tc>
      </w:tr>
      <w:tr w:rsidR="00657236" w:rsidRPr="00180B8D" w14:paraId="21D6665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6F93B8" w14:textId="77777777" w:rsidR="00657236" w:rsidRPr="00180B8D" w:rsidRDefault="00D655E7">
            <w:pPr>
              <w:pStyle w:val="P68B1DB1-Normal2"/>
              <w:spacing w:after="0" w:line="240" w:lineRule="auto"/>
              <w:jc w:val="center"/>
              <w:rPr>
                <w:lang w:val="en-GB"/>
              </w:rPr>
            </w:pPr>
            <w:r w:rsidRPr="00180B8D">
              <w:rPr>
                <w:lang w:val="en-GB"/>
              </w:rPr>
              <w:t>20</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2C48C" w14:textId="77777777" w:rsidR="00657236" w:rsidRPr="00180B8D" w:rsidRDefault="00D655E7">
            <w:pPr>
              <w:pStyle w:val="P68B1DB1-Normal2"/>
              <w:spacing w:after="0" w:line="240" w:lineRule="auto"/>
              <w:rPr>
                <w:lang w:val="en-GB"/>
              </w:rPr>
            </w:pPr>
            <w:proofErr w:type="gramStart"/>
            <w:r w:rsidRPr="00180B8D">
              <w:rPr>
                <w:lang w:val="en-GB"/>
              </w:rPr>
              <w:t>Other</w:t>
            </w:r>
            <w:proofErr w:type="gramEnd"/>
            <w:r w:rsidRPr="00180B8D">
              <w:rPr>
                <w:lang w:val="en-GB"/>
              </w:rPr>
              <w:t xml:space="preserve"> sector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BB0C60" w14:textId="77777777" w:rsidR="00657236" w:rsidRPr="00180B8D" w:rsidRDefault="00D655E7">
            <w:pPr>
              <w:pStyle w:val="P68B1DB1-Normal2"/>
              <w:spacing w:after="0" w:line="240" w:lineRule="auto"/>
              <w:jc w:val="center"/>
              <w:rPr>
                <w:lang w:val="en-GB"/>
              </w:rPr>
            </w:pPr>
            <w:r w:rsidRPr="00180B8D">
              <w:rPr>
                <w:lang w:val="en-GB"/>
              </w:rPr>
              <w:t>12,0 %</w:t>
            </w:r>
          </w:p>
        </w:tc>
      </w:tr>
    </w:tbl>
    <w:p w14:paraId="3921CD0F" w14:textId="77777777" w:rsidR="00657236" w:rsidRPr="00180B8D" w:rsidRDefault="00D655E7">
      <w:pPr>
        <w:pStyle w:val="P68B1DB1-Normal2"/>
        <w:spacing w:after="0" w:line="240" w:lineRule="auto"/>
        <w:ind w:firstLine="567"/>
        <w:jc w:val="both"/>
        <w:rPr>
          <w:lang w:val="en-GB"/>
        </w:rPr>
      </w:pPr>
      <w:r w:rsidRPr="00180B8D">
        <w:rPr>
          <w:lang w:val="en-GB"/>
        </w:rPr>
        <w:t> </w:t>
      </w:r>
    </w:p>
    <w:p w14:paraId="60C49908" w14:textId="194BBB79" w:rsidR="00657236" w:rsidRPr="00180B8D" w:rsidRDefault="00D655E7">
      <w:pPr>
        <w:pStyle w:val="P68B1DB1-Normal2"/>
        <w:spacing w:after="0" w:line="240" w:lineRule="auto"/>
        <w:ind w:firstLine="567"/>
        <w:jc w:val="both"/>
        <w:rPr>
          <w:lang w:val="en-GB"/>
        </w:rPr>
      </w:pPr>
      <w:r w:rsidRPr="00180B8D">
        <w:rPr>
          <w:b/>
          <w:lang w:val="en-GB"/>
        </w:rPr>
        <w:t>94.</w:t>
      </w:r>
      <w:r w:rsidRPr="00180B8D">
        <w:rPr>
          <w:lang w:val="en-GB"/>
        </w:rPr>
        <w:t xml:space="preserve"> Where there are no external ratings for a </w:t>
      </w:r>
      <w:r w:rsidR="00DB3CEE">
        <w:rPr>
          <w:lang w:val="en-GB"/>
        </w:rPr>
        <w:t>specific</w:t>
      </w:r>
      <w:r w:rsidRPr="00180B8D">
        <w:rPr>
          <w:lang w:val="en-GB"/>
        </w:rPr>
        <w:t xml:space="preserve"> counterparty, banks may, subject to prior approval by the National Bank of Moldova, ma</w:t>
      </w:r>
      <w:r w:rsidR="00DB3CEE">
        <w:rPr>
          <w:lang w:val="en-GB"/>
        </w:rPr>
        <w:t>p</w:t>
      </w:r>
      <w:r w:rsidRPr="00180B8D">
        <w:rPr>
          <w:lang w:val="en-GB"/>
        </w:rPr>
        <w:t xml:space="preserve"> the internal rating </w:t>
      </w:r>
      <w:r w:rsidR="00DB3CEE">
        <w:rPr>
          <w:lang w:val="en-GB"/>
        </w:rPr>
        <w:t>to</w:t>
      </w:r>
      <w:r w:rsidRPr="00180B8D">
        <w:rPr>
          <w:lang w:val="en-GB"/>
        </w:rPr>
        <w:t xml:space="preserve"> a corresponding external rating and assign a risk weight corresponding to </w:t>
      </w:r>
      <w:r w:rsidR="00CB66C1">
        <w:rPr>
          <w:lang w:val="en-GB"/>
        </w:rPr>
        <w:t xml:space="preserve">either </w:t>
      </w:r>
      <w:r w:rsidRPr="00180B8D">
        <w:rPr>
          <w:lang w:val="en-GB"/>
        </w:rPr>
        <w:t>credit quality steps 1 to 3 or credit quality steps 4 to 6. Otherwise</w:t>
      </w:r>
      <w:r w:rsidR="00CB66C1">
        <w:rPr>
          <w:lang w:val="en-GB"/>
        </w:rPr>
        <w:t>,</w:t>
      </w:r>
      <w:r w:rsidRPr="00180B8D">
        <w:rPr>
          <w:lang w:val="en-GB"/>
        </w:rPr>
        <w:t xml:space="preserve"> the risk weights for unrated exposures shall be applied.</w:t>
      </w:r>
    </w:p>
    <w:p w14:paraId="712FA6EA" w14:textId="459DE71F" w:rsidR="00657236" w:rsidRPr="00180B8D" w:rsidRDefault="00D655E7">
      <w:pPr>
        <w:pStyle w:val="P68B1DB1-Normal2"/>
        <w:spacing w:after="0" w:line="240" w:lineRule="auto"/>
        <w:ind w:firstLine="567"/>
        <w:jc w:val="both"/>
        <w:rPr>
          <w:lang w:val="en-GB"/>
        </w:rPr>
      </w:pPr>
      <w:r w:rsidRPr="00180B8D">
        <w:rPr>
          <w:b/>
          <w:lang w:val="en-GB"/>
        </w:rPr>
        <w:t>95.</w:t>
      </w:r>
      <w:r w:rsidRPr="00180B8D">
        <w:rPr>
          <w:lang w:val="en-GB"/>
        </w:rPr>
        <w:t xml:space="preserve"> </w:t>
      </w:r>
      <w:r w:rsidR="00CB66C1">
        <w:rPr>
          <w:lang w:val="en-GB"/>
        </w:rPr>
        <w:t>R</w:t>
      </w:r>
      <w:r w:rsidRPr="00180B8D">
        <w:rPr>
          <w:lang w:val="en-GB"/>
        </w:rPr>
        <w:t>isk weights for reference credit spread volatilities shall be set at 100 %.</w:t>
      </w:r>
    </w:p>
    <w:p w14:paraId="4C234522" w14:textId="1FED1F63" w:rsidR="00657236" w:rsidRPr="00180B8D" w:rsidRDefault="00D655E7">
      <w:pPr>
        <w:pStyle w:val="P68B1DB1-Normal2"/>
        <w:spacing w:after="0" w:line="240" w:lineRule="auto"/>
        <w:ind w:firstLine="567"/>
        <w:jc w:val="both"/>
        <w:rPr>
          <w:lang w:val="en-GB"/>
        </w:rPr>
      </w:pPr>
      <w:r w:rsidRPr="00180B8D">
        <w:rPr>
          <w:b/>
          <w:lang w:val="en-GB"/>
        </w:rPr>
        <w:t>96.</w:t>
      </w:r>
      <w:r w:rsidRPr="00180B8D">
        <w:rPr>
          <w:lang w:val="en-GB"/>
        </w:rPr>
        <w:t xml:space="preserve"> </w:t>
      </w:r>
      <w:r w:rsidR="00CB66C1" w:rsidRPr="00CB66C1">
        <w:t>To assign</w:t>
      </w:r>
      <w:r w:rsidR="00CB66C1" w:rsidRPr="00CB66C1">
        <w:rPr>
          <w:lang w:val="en-GB"/>
        </w:rPr>
        <w:t xml:space="preserve"> </w:t>
      </w:r>
      <w:r w:rsidRPr="00180B8D">
        <w:rPr>
          <w:lang w:val="en-GB"/>
        </w:rPr>
        <w:t xml:space="preserve">a risk exposure to a sector, banks </w:t>
      </w:r>
      <w:r w:rsidR="00CB66C1">
        <w:rPr>
          <w:lang w:val="en-GB"/>
        </w:rPr>
        <w:t xml:space="preserve">shall </w:t>
      </w:r>
      <w:r w:rsidRPr="00180B8D">
        <w:rPr>
          <w:lang w:val="en-GB"/>
        </w:rPr>
        <w:t xml:space="preserve">rely on a classification that is commonly used in the market </w:t>
      </w:r>
      <w:r w:rsidR="00CB66C1" w:rsidRPr="00CB66C1">
        <w:t>for grouping</w:t>
      </w:r>
      <w:r w:rsidR="00CB66C1" w:rsidRPr="00CB66C1">
        <w:rPr>
          <w:lang w:val="en-GB"/>
        </w:rPr>
        <w:t xml:space="preserve"> </w:t>
      </w:r>
      <w:r w:rsidRPr="00180B8D">
        <w:rPr>
          <w:lang w:val="en-GB"/>
        </w:rPr>
        <w:t xml:space="preserve">issuers by sector. Banks shall assign each issuer to </w:t>
      </w:r>
      <w:r w:rsidR="00CB66C1">
        <w:rPr>
          <w:lang w:val="en-GB"/>
        </w:rPr>
        <w:t xml:space="preserve">only one of the </w:t>
      </w:r>
      <w:r w:rsidR="00CB66C1" w:rsidRPr="00180B8D">
        <w:rPr>
          <w:lang w:val="en-GB"/>
        </w:rPr>
        <w:t>sector</w:t>
      </w:r>
      <w:r w:rsidRPr="00180B8D">
        <w:rPr>
          <w:lang w:val="en-GB"/>
        </w:rPr>
        <w:t xml:space="preserve"> bucket</w:t>
      </w:r>
      <w:r w:rsidR="00CB66C1">
        <w:rPr>
          <w:lang w:val="en-GB"/>
        </w:rPr>
        <w:t>s</w:t>
      </w:r>
      <w:r w:rsidRPr="00180B8D">
        <w:rPr>
          <w:lang w:val="en-GB"/>
        </w:rPr>
        <w:t xml:space="preserve"> in Table 5. Risk exposures from any issuer that the bank cannot assign to a sector in </w:t>
      </w:r>
      <w:r w:rsidR="00CB66C1" w:rsidRPr="00CB66C1">
        <w:t>such a manner</w:t>
      </w:r>
      <w:r w:rsidR="00CB66C1" w:rsidRPr="00CB66C1">
        <w:rPr>
          <w:lang w:val="en-GB"/>
        </w:rPr>
        <w:t xml:space="preserve"> </w:t>
      </w:r>
      <w:r w:rsidRPr="00180B8D">
        <w:rPr>
          <w:lang w:val="en-GB"/>
        </w:rPr>
        <w:t>shall be assigned to bucket 20 of Table 5.</w:t>
      </w:r>
      <w:r w:rsidR="00CB66C1">
        <w:rPr>
          <w:lang w:val="en-GB"/>
        </w:rPr>
        <w:t xml:space="preserve"> </w:t>
      </w:r>
    </w:p>
    <w:p w14:paraId="00201960" w14:textId="71B5BCE2" w:rsidR="00657236" w:rsidRPr="00180B8D" w:rsidRDefault="00D655E7">
      <w:pPr>
        <w:pStyle w:val="P68B1DB1-Normal2"/>
        <w:spacing w:after="0" w:line="240" w:lineRule="auto"/>
        <w:ind w:firstLine="567"/>
        <w:jc w:val="both"/>
        <w:rPr>
          <w:lang w:val="en-GB"/>
        </w:rPr>
      </w:pPr>
      <w:r w:rsidRPr="00180B8D">
        <w:rPr>
          <w:b/>
          <w:lang w:val="en-GB"/>
        </w:rPr>
        <w:t>97.</w:t>
      </w:r>
      <w:r w:rsidRPr="00180B8D">
        <w:rPr>
          <w:lang w:val="en-GB"/>
        </w:rPr>
        <w:t xml:space="preserve"> Banks shall assign to buckets 11 and 19 only exposures that </w:t>
      </w:r>
      <w:r w:rsidR="00CB66C1" w:rsidRPr="00CB66C1">
        <w:t>reference </w:t>
      </w:r>
      <w:r w:rsidR="00CB66C1" w:rsidRPr="00180B8D">
        <w:rPr>
          <w:lang w:val="en-GB"/>
        </w:rPr>
        <w:t xml:space="preserve">qualified </w:t>
      </w:r>
      <w:r w:rsidRPr="00180B8D">
        <w:rPr>
          <w:lang w:val="en-GB"/>
        </w:rPr>
        <w:t>indices referred to in paragraph 33.</w:t>
      </w:r>
    </w:p>
    <w:p w14:paraId="6A7A1A31" w14:textId="77777777" w:rsidR="00657236" w:rsidRPr="00180B8D" w:rsidRDefault="00D655E7">
      <w:pPr>
        <w:pStyle w:val="P68B1DB1-Normal2"/>
        <w:spacing w:after="0" w:line="240" w:lineRule="auto"/>
        <w:ind w:firstLine="567"/>
        <w:jc w:val="both"/>
        <w:rPr>
          <w:lang w:val="en-GB"/>
        </w:rPr>
      </w:pPr>
      <w:r w:rsidRPr="00180B8D">
        <w:rPr>
          <w:b/>
          <w:lang w:val="en-GB"/>
        </w:rPr>
        <w:t>98.</w:t>
      </w:r>
      <w:r w:rsidRPr="00180B8D">
        <w:rPr>
          <w:lang w:val="en-GB"/>
        </w:rPr>
        <w:t xml:space="preserve"> Banks shall use a </w:t>
      </w:r>
      <w:r w:rsidRPr="00180B8D">
        <w:rPr>
          <w:i/>
          <w:lang w:val="en-GB"/>
        </w:rPr>
        <w:t>look-through</w:t>
      </w:r>
      <w:r w:rsidRPr="00180B8D">
        <w:rPr>
          <w:lang w:val="en-GB"/>
        </w:rPr>
        <w:t xml:space="preserve"> approach to determine the sensitivities of an exposure referencing a non-qualified index.</w:t>
      </w:r>
    </w:p>
    <w:p w14:paraId="694BAAFB" w14:textId="77777777" w:rsidR="00657236" w:rsidRPr="00180B8D" w:rsidRDefault="00D655E7">
      <w:pPr>
        <w:pStyle w:val="P68B1DB1-Normal3"/>
        <w:spacing w:after="0" w:line="240" w:lineRule="auto"/>
        <w:jc w:val="center"/>
        <w:rPr>
          <w:lang w:val="en-GB"/>
        </w:rPr>
      </w:pPr>
      <w:r w:rsidRPr="00180B8D">
        <w:rPr>
          <w:lang w:val="en-GB"/>
        </w:rPr>
        <w:t>Section 18</w:t>
      </w:r>
    </w:p>
    <w:p w14:paraId="16EB5DF7" w14:textId="254E3320" w:rsidR="00657236" w:rsidRPr="00180B8D" w:rsidRDefault="00D655E7">
      <w:pPr>
        <w:pStyle w:val="P68B1DB1-Normal3"/>
        <w:spacing w:after="0" w:line="240" w:lineRule="auto"/>
        <w:jc w:val="center"/>
        <w:rPr>
          <w:lang w:val="en-GB"/>
        </w:rPr>
      </w:pPr>
      <w:r w:rsidRPr="00180B8D">
        <w:rPr>
          <w:lang w:val="en-GB"/>
        </w:rPr>
        <w:t xml:space="preserve">Intra-bucket correlations for reference </w:t>
      </w:r>
      <w:r w:rsidR="00CB66C1" w:rsidRPr="00CB66C1">
        <w:rPr>
          <w:bCs/>
        </w:rPr>
        <w:t>credit </w:t>
      </w:r>
      <w:r w:rsidRPr="00180B8D">
        <w:rPr>
          <w:lang w:val="en-GB"/>
        </w:rPr>
        <w:t>spread risk</w:t>
      </w:r>
    </w:p>
    <w:p w14:paraId="5E808D18" w14:textId="15FCA015" w:rsidR="00657236" w:rsidRPr="00180B8D" w:rsidRDefault="00D655E7">
      <w:pPr>
        <w:pStyle w:val="P68B1DB1-Normal2"/>
        <w:spacing w:after="0" w:line="240" w:lineRule="auto"/>
        <w:ind w:firstLine="567"/>
        <w:jc w:val="both"/>
        <w:rPr>
          <w:lang w:val="en-GB"/>
        </w:rPr>
      </w:pPr>
      <w:r w:rsidRPr="00180B8D">
        <w:rPr>
          <w:b/>
          <w:lang w:val="en-GB"/>
        </w:rPr>
        <w:t>99.</w:t>
      </w:r>
      <w:r w:rsidRPr="00180B8D">
        <w:rPr>
          <w:lang w:val="en-GB"/>
        </w:rPr>
        <w:t xml:space="preserve"> Between two sensitivities </w:t>
      </w:r>
      <w:proofErr w:type="spellStart"/>
      <w:r w:rsidRPr="00180B8D">
        <w:rPr>
          <w:i/>
          <w:lang w:val="en-GB"/>
        </w:rPr>
        <w:t>WS</w:t>
      </w:r>
      <w:r w:rsidRPr="00180B8D">
        <w:rPr>
          <w:i/>
          <w:vertAlign w:val="subscript"/>
          <w:lang w:val="en-GB"/>
        </w:rPr>
        <w:t>k</w:t>
      </w:r>
      <w:proofErr w:type="spellEnd"/>
      <w:r w:rsidRPr="00180B8D">
        <w:rPr>
          <w:lang w:val="en-GB"/>
        </w:rPr>
        <w:t xml:space="preserve"> and </w:t>
      </w:r>
      <w:proofErr w:type="spellStart"/>
      <w:proofErr w:type="gramStart"/>
      <w:r w:rsidRPr="00180B8D">
        <w:rPr>
          <w:i/>
          <w:lang w:val="en-GB"/>
        </w:rPr>
        <w:t>WS</w:t>
      </w:r>
      <w:r w:rsidRPr="00180B8D">
        <w:rPr>
          <w:i/>
          <w:vertAlign w:val="subscript"/>
          <w:lang w:val="en-GB"/>
        </w:rPr>
        <w:t>l</w:t>
      </w:r>
      <w:proofErr w:type="spellEnd"/>
      <w:r w:rsidRPr="00180B8D">
        <w:rPr>
          <w:lang w:val="en-GB"/>
        </w:rPr>
        <w:t xml:space="preserve"> ,</w:t>
      </w:r>
      <w:proofErr w:type="gramEnd"/>
      <w:r w:rsidRPr="00180B8D">
        <w:rPr>
          <w:lang w:val="en-GB"/>
        </w:rPr>
        <w:t xml:space="preserve"> </w:t>
      </w:r>
      <w:r w:rsidR="00CB66C1" w:rsidRPr="00CB66C1">
        <w:t>resulting </w:t>
      </w:r>
      <w:r w:rsidRPr="00180B8D">
        <w:rPr>
          <w:lang w:val="en-GB"/>
        </w:rPr>
        <w:t>from risk exposures assigned to the secto</w:t>
      </w:r>
      <w:r w:rsidR="00CB66C1">
        <w:rPr>
          <w:lang w:val="en-GB"/>
        </w:rPr>
        <w:t>r</w:t>
      </w:r>
      <w:r w:rsidRPr="00180B8D">
        <w:rPr>
          <w:lang w:val="en-GB"/>
        </w:rPr>
        <w:t xml:space="preserve"> buckets 1 to 10, 12 to 18 and 20 in paragraphs 93 and 94, the correlation parameter </w:t>
      </w:r>
      <w:proofErr w:type="spellStart"/>
      <w:r w:rsidRPr="00180B8D">
        <w:rPr>
          <w:i/>
          <w:lang w:val="en-GB"/>
        </w:rPr>
        <w:t>ρ</w:t>
      </w:r>
      <w:r w:rsidRPr="00180B8D">
        <w:rPr>
          <w:i/>
          <w:vertAlign w:val="subscript"/>
          <w:lang w:val="en-GB"/>
        </w:rPr>
        <w:t>kl</w:t>
      </w:r>
      <w:proofErr w:type="spellEnd"/>
      <w:r w:rsidRPr="00180B8D">
        <w:rPr>
          <w:lang w:val="en-GB"/>
        </w:rPr>
        <w:t xml:space="preserve"> shall be set as follows:</w:t>
      </w:r>
    </w:p>
    <w:p w14:paraId="04B1ACB0" w14:textId="77777777" w:rsidR="00657236" w:rsidRPr="00180B8D" w:rsidRDefault="00D655E7">
      <w:pPr>
        <w:pStyle w:val="P68B1DB1-Normal2"/>
        <w:spacing w:after="0" w:line="240" w:lineRule="auto"/>
        <w:ind w:firstLine="567"/>
        <w:jc w:val="both"/>
        <w:rPr>
          <w:lang w:val="en-GB"/>
        </w:rPr>
      </w:pPr>
      <w:r w:rsidRPr="00180B8D">
        <w:rPr>
          <w:lang w:val="en-GB"/>
        </w:rPr>
        <w:t> </w:t>
      </w:r>
    </w:p>
    <w:p w14:paraId="2F3A7CAF" w14:textId="559F7E15" w:rsidR="00657236" w:rsidRPr="00180B8D" w:rsidRDefault="00CB66C1">
      <w:pPr>
        <w:pStyle w:val="P68B1DB1-Normal2"/>
        <w:spacing w:after="0" w:line="240" w:lineRule="auto"/>
        <w:jc w:val="center"/>
        <w:rPr>
          <w:lang w:val="en-GB"/>
        </w:rPr>
      </w:pPr>
      <w:r>
        <w:rPr>
          <w:lang w:val="en-GB"/>
        </w:rPr>
        <w:t xml:space="preserve"> </w:t>
      </w:r>
      <w:r>
        <w:rPr>
          <w:noProof/>
        </w:rPr>
        <w:drawing>
          <wp:inline distT="0" distB="0" distL="0" distR="0" wp14:anchorId="5FB2FE2D" wp14:editId="7D62505E">
            <wp:extent cx="2770641" cy="326197"/>
            <wp:effectExtent l="0" t="0" r="0" b="0"/>
            <wp:docPr id="41775326" name="Picture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795766" cy="329155"/>
                    </a:xfrm>
                    <a:prstGeom prst="rect">
                      <a:avLst/>
                    </a:prstGeom>
                    <a:noFill/>
                    <a:ln>
                      <a:noFill/>
                    </a:ln>
                  </pic:spPr>
                </pic:pic>
              </a:graphicData>
            </a:graphic>
          </wp:inline>
        </w:drawing>
      </w:r>
    </w:p>
    <w:p w14:paraId="71CE0782" w14:textId="77777777" w:rsidR="00657236" w:rsidRPr="00180B8D" w:rsidRDefault="00D655E7">
      <w:pPr>
        <w:pStyle w:val="P68B1DB1-Normal2"/>
        <w:spacing w:after="0" w:line="240" w:lineRule="auto"/>
        <w:ind w:firstLine="567"/>
        <w:jc w:val="both"/>
        <w:rPr>
          <w:lang w:val="en-GB"/>
        </w:rPr>
      </w:pPr>
      <w:r w:rsidRPr="00180B8D">
        <w:rPr>
          <w:lang w:val="en-GB"/>
        </w:rPr>
        <w:t>where:</w:t>
      </w:r>
    </w:p>
    <w:tbl>
      <w:tblPr>
        <w:tblW w:w="4500" w:type="pct"/>
        <w:jc w:val="center"/>
        <w:tblCellMar>
          <w:top w:w="15" w:type="dxa"/>
          <w:left w:w="15" w:type="dxa"/>
          <w:bottom w:w="15" w:type="dxa"/>
          <w:right w:w="15" w:type="dxa"/>
        </w:tblCellMar>
        <w:tblLook w:val="04A0" w:firstRow="1" w:lastRow="0" w:firstColumn="1" w:lastColumn="0" w:noHBand="0" w:noVBand="1"/>
      </w:tblPr>
      <w:tblGrid>
        <w:gridCol w:w="998"/>
        <w:gridCol w:w="7422"/>
      </w:tblGrid>
      <w:tr w:rsidR="00657236" w:rsidRPr="00180B8D" w14:paraId="580797DC" w14:textId="77777777">
        <w:trPr>
          <w:jc w:val="center"/>
        </w:trPr>
        <w:tc>
          <w:tcPr>
            <w:tcW w:w="0" w:type="auto"/>
            <w:tcBorders>
              <w:top w:val="nil"/>
              <w:left w:val="nil"/>
              <w:bottom w:val="nil"/>
              <w:right w:val="nil"/>
            </w:tcBorders>
            <w:tcMar>
              <w:top w:w="24" w:type="dxa"/>
              <w:left w:w="48" w:type="dxa"/>
              <w:bottom w:w="24" w:type="dxa"/>
              <w:right w:w="48" w:type="dxa"/>
            </w:tcMar>
            <w:hideMark/>
          </w:tcPr>
          <w:p w14:paraId="08030070" w14:textId="0EF01808" w:rsidR="00657236" w:rsidRPr="00180B8D" w:rsidRDefault="00CB66C1">
            <w:pPr>
              <w:pStyle w:val="P68B1DB1-Normal2"/>
              <w:spacing w:after="0" w:line="240" w:lineRule="auto"/>
              <w:rPr>
                <w:lang w:val="en-GB"/>
              </w:rPr>
            </w:pPr>
            <w:r>
              <w:rPr>
                <w:noProof/>
              </w:rPr>
              <w:lastRenderedPageBreak/>
              <w:drawing>
                <wp:inline distT="0" distB="0" distL="0" distR="0" wp14:anchorId="1B0DCFCC" wp14:editId="73396EF3">
                  <wp:extent cx="508635" cy="254635"/>
                  <wp:effectExtent l="0" t="0" r="5715" b="0"/>
                  <wp:docPr id="696032712" name="Picture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08635" cy="25463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7634860D" w14:textId="2D09C72C" w:rsidR="00657236" w:rsidRPr="00180B8D" w:rsidRDefault="00D655E7">
            <w:pPr>
              <w:pStyle w:val="P68B1DB1-Normal2"/>
              <w:spacing w:after="0" w:line="240" w:lineRule="auto"/>
              <w:rPr>
                <w:lang w:val="en-GB"/>
              </w:rPr>
            </w:pPr>
            <w:r w:rsidRPr="00180B8D">
              <w:rPr>
                <w:lang w:val="en-GB"/>
              </w:rPr>
              <w:t>shall be equal to 1 where the two</w:t>
            </w:r>
            <w:r w:rsidR="00CB66C1">
              <w:rPr>
                <w:lang w:val="en-GB"/>
              </w:rPr>
              <w:t xml:space="preserve"> </w:t>
            </w:r>
            <w:r w:rsidR="00CB66C1" w:rsidRPr="00CB66C1">
              <w:t>vertices </w:t>
            </w:r>
            <w:r w:rsidR="00CB66C1">
              <w:t>of the</w:t>
            </w:r>
            <w:r w:rsidRPr="00180B8D">
              <w:rPr>
                <w:lang w:val="en-GB"/>
              </w:rPr>
              <w:t xml:space="preserve"> sensitivities k and l are identical, otherwise it shall be equal to </w:t>
            </w:r>
            <w:proofErr w:type="gramStart"/>
            <w:r w:rsidRPr="00180B8D">
              <w:rPr>
                <w:lang w:val="en-GB"/>
              </w:rPr>
              <w:t>90 %;</w:t>
            </w:r>
            <w:proofErr w:type="gramEnd"/>
          </w:p>
        </w:tc>
      </w:tr>
      <w:tr w:rsidR="00657236" w:rsidRPr="00180B8D" w14:paraId="10DE737B" w14:textId="77777777">
        <w:trPr>
          <w:jc w:val="center"/>
        </w:trPr>
        <w:tc>
          <w:tcPr>
            <w:tcW w:w="0" w:type="auto"/>
            <w:tcBorders>
              <w:top w:val="nil"/>
              <w:left w:val="nil"/>
              <w:bottom w:val="nil"/>
              <w:right w:val="nil"/>
            </w:tcBorders>
            <w:tcMar>
              <w:top w:w="24" w:type="dxa"/>
              <w:left w:w="48" w:type="dxa"/>
              <w:bottom w:w="24" w:type="dxa"/>
              <w:right w:w="48" w:type="dxa"/>
            </w:tcMar>
            <w:hideMark/>
          </w:tcPr>
          <w:p w14:paraId="3659A592" w14:textId="1F1DD43C" w:rsidR="00657236" w:rsidRPr="00180B8D" w:rsidRDefault="00CB66C1">
            <w:pPr>
              <w:pStyle w:val="P68B1DB1-Normal2"/>
              <w:spacing w:after="0" w:line="240" w:lineRule="auto"/>
              <w:rPr>
                <w:lang w:val="en-GB"/>
              </w:rPr>
            </w:pPr>
            <w:r>
              <w:rPr>
                <w:noProof/>
              </w:rPr>
              <w:drawing>
                <wp:inline distT="0" distB="0" distL="0" distR="0" wp14:anchorId="3B104E13" wp14:editId="4583FACD">
                  <wp:extent cx="540385" cy="254635"/>
                  <wp:effectExtent l="0" t="0" r="0" b="0"/>
                  <wp:docPr id="1033314190" name="Picture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0385" cy="25463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283192EE" w14:textId="12D016DC" w:rsidR="00657236" w:rsidRPr="00180B8D" w:rsidRDefault="00D655E7">
            <w:pPr>
              <w:pStyle w:val="P68B1DB1-Normal2"/>
              <w:spacing w:after="0" w:line="240" w:lineRule="auto"/>
              <w:rPr>
                <w:lang w:val="en-GB"/>
              </w:rPr>
            </w:pPr>
            <w:r w:rsidRPr="00180B8D">
              <w:rPr>
                <w:lang w:val="en-GB"/>
              </w:rPr>
              <w:t xml:space="preserve">shall be equal to 1 where the two names of sensitivities k and l are identical, 90 % where the two names are distinct but legally </w:t>
            </w:r>
            <w:r w:rsidR="00CB66C1">
              <w:rPr>
                <w:lang w:val="en-GB"/>
              </w:rPr>
              <w:t>related</w:t>
            </w:r>
            <w:r w:rsidRPr="00180B8D">
              <w:rPr>
                <w:lang w:val="en-GB"/>
              </w:rPr>
              <w:t xml:space="preserve">, otherwise it shall be equal to </w:t>
            </w:r>
            <w:proofErr w:type="gramStart"/>
            <w:r w:rsidRPr="00180B8D">
              <w:rPr>
                <w:lang w:val="en-GB"/>
              </w:rPr>
              <w:t>50 %;</w:t>
            </w:r>
            <w:proofErr w:type="gramEnd"/>
          </w:p>
        </w:tc>
      </w:tr>
      <w:tr w:rsidR="00657236" w:rsidRPr="00180B8D" w14:paraId="52710283" w14:textId="77777777">
        <w:trPr>
          <w:jc w:val="center"/>
        </w:trPr>
        <w:tc>
          <w:tcPr>
            <w:tcW w:w="0" w:type="auto"/>
            <w:tcBorders>
              <w:top w:val="nil"/>
              <w:left w:val="nil"/>
              <w:bottom w:val="nil"/>
              <w:right w:val="nil"/>
            </w:tcBorders>
            <w:tcMar>
              <w:top w:w="24" w:type="dxa"/>
              <w:left w:w="48" w:type="dxa"/>
              <w:bottom w:w="24" w:type="dxa"/>
              <w:right w:w="48" w:type="dxa"/>
            </w:tcMar>
            <w:hideMark/>
          </w:tcPr>
          <w:p w14:paraId="4100DFF2" w14:textId="254A0846" w:rsidR="00657236" w:rsidRPr="00180B8D" w:rsidRDefault="00CB66C1">
            <w:pPr>
              <w:pStyle w:val="P68B1DB1-Normal2"/>
              <w:spacing w:after="0" w:line="240" w:lineRule="auto"/>
              <w:rPr>
                <w:lang w:val="en-GB"/>
              </w:rPr>
            </w:pPr>
            <w:r>
              <w:rPr>
                <w:noProof/>
              </w:rPr>
              <w:drawing>
                <wp:inline distT="0" distB="0" distL="0" distR="0" wp14:anchorId="5A0F8477" wp14:editId="2FCC23BE">
                  <wp:extent cx="572770" cy="254635"/>
                  <wp:effectExtent l="0" t="0" r="0" b="0"/>
                  <wp:docPr id="730884373" name="Picture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2770" cy="25463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599C0B79" w14:textId="77777777" w:rsidR="00657236" w:rsidRPr="00180B8D" w:rsidRDefault="00D655E7">
            <w:pPr>
              <w:pStyle w:val="P68B1DB1-Normal2"/>
              <w:spacing w:after="0" w:line="240" w:lineRule="auto"/>
              <w:rPr>
                <w:lang w:val="en-GB"/>
              </w:rPr>
            </w:pPr>
            <w:r w:rsidRPr="00180B8D">
              <w:rPr>
                <w:lang w:val="en-GB"/>
              </w:rPr>
              <w:t xml:space="preserve">shall be equal to 1 where the two names are both in buckets 1 to 10, are both in buckets 12 to 18 </w:t>
            </w:r>
            <w:proofErr w:type="gramStart"/>
            <w:r w:rsidRPr="00180B8D">
              <w:rPr>
                <w:lang w:val="en-GB"/>
              </w:rPr>
              <w:t>or</w:t>
            </w:r>
            <w:proofErr w:type="gramEnd"/>
            <w:r w:rsidRPr="00180B8D">
              <w:rPr>
                <w:lang w:val="en-GB"/>
              </w:rPr>
              <w:t xml:space="preserve"> are both in bucket 20, otherwise it shall be equal to 80 %.</w:t>
            </w:r>
          </w:p>
        </w:tc>
      </w:tr>
    </w:tbl>
    <w:p w14:paraId="547A4876" w14:textId="77777777" w:rsidR="00657236" w:rsidRPr="00180B8D" w:rsidRDefault="00D655E7">
      <w:pPr>
        <w:pStyle w:val="P68B1DB1-Normal2"/>
        <w:spacing w:after="0" w:line="240" w:lineRule="auto"/>
        <w:ind w:firstLine="567"/>
        <w:jc w:val="both"/>
        <w:rPr>
          <w:lang w:val="en-GB"/>
        </w:rPr>
      </w:pPr>
      <w:r w:rsidRPr="00180B8D">
        <w:rPr>
          <w:lang w:val="en-GB"/>
        </w:rPr>
        <w:t> </w:t>
      </w:r>
    </w:p>
    <w:p w14:paraId="723AADC8" w14:textId="557257BC" w:rsidR="00657236" w:rsidRPr="00180B8D" w:rsidRDefault="00D655E7">
      <w:pPr>
        <w:pStyle w:val="P68B1DB1-Normal2"/>
        <w:spacing w:after="0" w:line="240" w:lineRule="auto"/>
        <w:ind w:firstLine="567"/>
        <w:jc w:val="both"/>
        <w:rPr>
          <w:lang w:val="en-GB"/>
        </w:rPr>
      </w:pPr>
      <w:r w:rsidRPr="00180B8D">
        <w:rPr>
          <w:b/>
          <w:lang w:val="en-GB"/>
        </w:rPr>
        <w:t>100.</w:t>
      </w:r>
      <w:r w:rsidRPr="00180B8D">
        <w:rPr>
          <w:lang w:val="en-GB"/>
        </w:rPr>
        <w:t xml:space="preserve"> Between two sensitivities </w:t>
      </w:r>
      <w:proofErr w:type="spellStart"/>
      <w:r w:rsidRPr="00180B8D">
        <w:rPr>
          <w:i/>
          <w:lang w:val="en-GB"/>
        </w:rPr>
        <w:t>WS</w:t>
      </w:r>
      <w:r w:rsidRPr="00180B8D">
        <w:rPr>
          <w:i/>
          <w:vertAlign w:val="subscript"/>
          <w:lang w:val="en-GB"/>
        </w:rPr>
        <w:t>k</w:t>
      </w:r>
      <w:proofErr w:type="spellEnd"/>
      <w:r w:rsidRPr="00180B8D">
        <w:rPr>
          <w:lang w:val="en-GB"/>
        </w:rPr>
        <w:t xml:space="preserve"> and </w:t>
      </w:r>
      <w:proofErr w:type="spellStart"/>
      <w:r w:rsidRPr="00180B8D">
        <w:rPr>
          <w:i/>
          <w:lang w:val="en-GB"/>
        </w:rPr>
        <w:t>WS</w:t>
      </w:r>
      <w:r w:rsidRPr="00180B8D">
        <w:rPr>
          <w:i/>
          <w:vertAlign w:val="subscript"/>
          <w:lang w:val="en-GB"/>
        </w:rPr>
        <w:t>l</w:t>
      </w:r>
      <w:proofErr w:type="spellEnd"/>
      <w:r w:rsidRPr="00180B8D">
        <w:rPr>
          <w:lang w:val="en-GB"/>
        </w:rPr>
        <w:t xml:space="preserve">, </w:t>
      </w:r>
      <w:r w:rsidR="00CB66C1" w:rsidRPr="00CB66C1">
        <w:t>resulting </w:t>
      </w:r>
      <w:r w:rsidRPr="00180B8D">
        <w:rPr>
          <w:lang w:val="en-GB"/>
        </w:rPr>
        <w:t>from risk exposures assigned to sector</w:t>
      </w:r>
      <w:r w:rsidR="00CB66C1">
        <w:rPr>
          <w:lang w:val="en-GB"/>
        </w:rPr>
        <w:t xml:space="preserve"> </w:t>
      </w:r>
      <w:r w:rsidRPr="00180B8D">
        <w:rPr>
          <w:lang w:val="en-GB"/>
        </w:rPr>
        <w:t xml:space="preserve">buckets 11 and 19, the correlation parameter </w:t>
      </w:r>
      <w:proofErr w:type="spellStart"/>
      <w:r w:rsidRPr="00180B8D">
        <w:rPr>
          <w:i/>
          <w:lang w:val="en-GB"/>
        </w:rPr>
        <w:t>ρ</w:t>
      </w:r>
      <w:r w:rsidRPr="00180B8D">
        <w:rPr>
          <w:i/>
          <w:vertAlign w:val="subscript"/>
          <w:lang w:val="en-GB"/>
        </w:rPr>
        <w:t>kl</w:t>
      </w:r>
      <w:proofErr w:type="spellEnd"/>
      <w:r w:rsidRPr="00180B8D">
        <w:rPr>
          <w:lang w:val="en-GB"/>
        </w:rPr>
        <w:t xml:space="preserve"> </w:t>
      </w:r>
      <w:r w:rsidR="00CB66C1">
        <w:rPr>
          <w:lang w:val="en-GB"/>
        </w:rPr>
        <w:t>shall be</w:t>
      </w:r>
      <w:r w:rsidRPr="00180B8D">
        <w:rPr>
          <w:lang w:val="en-GB"/>
        </w:rPr>
        <w:t xml:space="preserve"> set as follows:</w:t>
      </w:r>
    </w:p>
    <w:p w14:paraId="5029C678" w14:textId="77777777" w:rsidR="00657236" w:rsidRPr="00180B8D" w:rsidRDefault="00D655E7">
      <w:pPr>
        <w:pStyle w:val="P68B1DB1-Normal2"/>
        <w:spacing w:after="0" w:line="240" w:lineRule="auto"/>
        <w:ind w:firstLine="567"/>
        <w:jc w:val="both"/>
        <w:rPr>
          <w:lang w:val="en-GB"/>
        </w:rPr>
      </w:pPr>
      <w:r w:rsidRPr="00180B8D">
        <w:rPr>
          <w:lang w:val="en-GB"/>
        </w:rPr>
        <w:t> </w:t>
      </w:r>
    </w:p>
    <w:p w14:paraId="6DAFCA53" w14:textId="527A237B" w:rsidR="00657236" w:rsidRPr="00180B8D" w:rsidRDefault="00CB66C1">
      <w:pPr>
        <w:pStyle w:val="P68B1DB1-Normal2"/>
        <w:spacing w:after="0" w:line="240" w:lineRule="auto"/>
        <w:jc w:val="center"/>
        <w:rPr>
          <w:lang w:val="en-GB"/>
        </w:rPr>
      </w:pPr>
      <w:r>
        <w:rPr>
          <w:lang w:val="en-GB"/>
        </w:rPr>
        <w:t xml:space="preserve"> </w:t>
      </w:r>
      <w:r>
        <w:rPr>
          <w:noProof/>
        </w:rPr>
        <w:drawing>
          <wp:inline distT="0" distB="0" distL="0" distR="0" wp14:anchorId="6648650C" wp14:editId="0FA2540E">
            <wp:extent cx="2905709" cy="342099"/>
            <wp:effectExtent l="0" t="0" r="0" b="1270"/>
            <wp:docPr id="2035465872" name="Picture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6122" cy="344502"/>
                    </a:xfrm>
                    <a:prstGeom prst="rect">
                      <a:avLst/>
                    </a:prstGeom>
                    <a:noFill/>
                    <a:ln>
                      <a:noFill/>
                    </a:ln>
                  </pic:spPr>
                </pic:pic>
              </a:graphicData>
            </a:graphic>
          </wp:inline>
        </w:drawing>
      </w:r>
    </w:p>
    <w:p w14:paraId="0BF1BF1A" w14:textId="77777777" w:rsidR="00657236" w:rsidRPr="00180B8D" w:rsidRDefault="00D655E7">
      <w:pPr>
        <w:pStyle w:val="P68B1DB1-Normal2"/>
        <w:spacing w:after="0" w:line="240" w:lineRule="auto"/>
        <w:ind w:firstLine="567"/>
        <w:jc w:val="both"/>
        <w:rPr>
          <w:lang w:val="en-GB"/>
        </w:rPr>
      </w:pPr>
      <w:r w:rsidRPr="00180B8D">
        <w:rPr>
          <w:lang w:val="en-GB"/>
        </w:rPr>
        <w:t>where:</w:t>
      </w:r>
    </w:p>
    <w:tbl>
      <w:tblPr>
        <w:tblW w:w="4500" w:type="pct"/>
        <w:jc w:val="center"/>
        <w:tblCellMar>
          <w:top w:w="15" w:type="dxa"/>
          <w:left w:w="15" w:type="dxa"/>
          <w:bottom w:w="15" w:type="dxa"/>
          <w:right w:w="15" w:type="dxa"/>
        </w:tblCellMar>
        <w:tblLook w:val="04A0" w:firstRow="1" w:lastRow="0" w:firstColumn="1" w:lastColumn="0" w:noHBand="0" w:noVBand="1"/>
      </w:tblPr>
      <w:tblGrid>
        <w:gridCol w:w="998"/>
        <w:gridCol w:w="7422"/>
      </w:tblGrid>
      <w:tr w:rsidR="00657236" w:rsidRPr="00180B8D" w14:paraId="302EBF0D" w14:textId="77777777">
        <w:trPr>
          <w:jc w:val="center"/>
        </w:trPr>
        <w:tc>
          <w:tcPr>
            <w:tcW w:w="0" w:type="auto"/>
            <w:tcBorders>
              <w:top w:val="nil"/>
              <w:left w:val="nil"/>
              <w:bottom w:val="nil"/>
              <w:right w:val="nil"/>
            </w:tcBorders>
            <w:tcMar>
              <w:top w:w="24" w:type="dxa"/>
              <w:left w:w="48" w:type="dxa"/>
              <w:bottom w:w="24" w:type="dxa"/>
              <w:right w:w="48" w:type="dxa"/>
            </w:tcMar>
            <w:hideMark/>
          </w:tcPr>
          <w:p w14:paraId="543D001E" w14:textId="03776827" w:rsidR="00657236" w:rsidRPr="00180B8D" w:rsidRDefault="009C3131">
            <w:pPr>
              <w:pStyle w:val="P68B1DB1-Normal2"/>
              <w:spacing w:after="0" w:line="240" w:lineRule="auto"/>
              <w:rPr>
                <w:lang w:val="en-GB"/>
              </w:rPr>
            </w:pPr>
            <w:r>
              <w:rPr>
                <w:noProof/>
              </w:rPr>
              <w:drawing>
                <wp:inline distT="0" distB="0" distL="0" distR="0" wp14:anchorId="38004920" wp14:editId="12AAA453">
                  <wp:extent cx="508635" cy="254635"/>
                  <wp:effectExtent l="0" t="0" r="5715" b="0"/>
                  <wp:docPr id="43704801" name="Picture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08635" cy="25463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433A572A" w14:textId="304A84F4" w:rsidR="00657236" w:rsidRPr="00180B8D" w:rsidRDefault="00D655E7">
            <w:pPr>
              <w:pStyle w:val="P68B1DB1-Normal2"/>
              <w:spacing w:after="0" w:line="240" w:lineRule="auto"/>
              <w:rPr>
                <w:lang w:val="en-GB"/>
              </w:rPr>
            </w:pPr>
            <w:r w:rsidRPr="00180B8D">
              <w:rPr>
                <w:lang w:val="en-GB"/>
              </w:rPr>
              <w:t>shall be equal to 1 where the two</w:t>
            </w:r>
            <w:r w:rsidR="009C3131">
              <w:rPr>
                <w:lang w:val="en-GB"/>
              </w:rPr>
              <w:t xml:space="preserve"> </w:t>
            </w:r>
            <w:r w:rsidR="009C3131" w:rsidRPr="009C3131">
              <w:t>vertices </w:t>
            </w:r>
            <w:r w:rsidR="009C3131">
              <w:t>of the</w:t>
            </w:r>
            <w:r w:rsidRPr="00180B8D">
              <w:rPr>
                <w:lang w:val="en-GB"/>
              </w:rPr>
              <w:t xml:space="preserve"> sensitivities k and l are identical, otherwise it shall be equal to </w:t>
            </w:r>
            <w:proofErr w:type="gramStart"/>
            <w:r w:rsidRPr="00180B8D">
              <w:rPr>
                <w:lang w:val="en-GB"/>
              </w:rPr>
              <w:t>90 %;</w:t>
            </w:r>
            <w:proofErr w:type="gramEnd"/>
          </w:p>
        </w:tc>
      </w:tr>
      <w:tr w:rsidR="00657236" w:rsidRPr="00180B8D" w14:paraId="1F992141" w14:textId="77777777">
        <w:trPr>
          <w:jc w:val="center"/>
        </w:trPr>
        <w:tc>
          <w:tcPr>
            <w:tcW w:w="0" w:type="auto"/>
            <w:tcBorders>
              <w:top w:val="nil"/>
              <w:left w:val="nil"/>
              <w:bottom w:val="nil"/>
              <w:right w:val="nil"/>
            </w:tcBorders>
            <w:tcMar>
              <w:top w:w="24" w:type="dxa"/>
              <w:left w:w="48" w:type="dxa"/>
              <w:bottom w:w="24" w:type="dxa"/>
              <w:right w:w="48" w:type="dxa"/>
            </w:tcMar>
            <w:hideMark/>
          </w:tcPr>
          <w:p w14:paraId="0C641291" w14:textId="49C503CA" w:rsidR="00657236" w:rsidRPr="00180B8D" w:rsidRDefault="009C3131">
            <w:pPr>
              <w:pStyle w:val="P68B1DB1-Normal2"/>
              <w:spacing w:after="0" w:line="240" w:lineRule="auto"/>
              <w:rPr>
                <w:lang w:val="en-GB"/>
              </w:rPr>
            </w:pPr>
            <w:r>
              <w:rPr>
                <w:noProof/>
              </w:rPr>
              <w:drawing>
                <wp:inline distT="0" distB="0" distL="0" distR="0" wp14:anchorId="35ACBB23" wp14:editId="1DCB1328">
                  <wp:extent cx="540385" cy="254635"/>
                  <wp:effectExtent l="0" t="0" r="0" b="0"/>
                  <wp:docPr id="297819574" name="Picture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40385" cy="25463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76290B08" w14:textId="6FAFD5D8" w:rsidR="00657236" w:rsidRPr="00180B8D" w:rsidRDefault="00D655E7">
            <w:pPr>
              <w:pStyle w:val="P68B1DB1-Normal2"/>
              <w:spacing w:after="0" w:line="240" w:lineRule="auto"/>
              <w:rPr>
                <w:lang w:val="en-GB"/>
              </w:rPr>
            </w:pPr>
            <w:r w:rsidRPr="00180B8D">
              <w:rPr>
                <w:lang w:val="en-GB"/>
              </w:rPr>
              <w:t xml:space="preserve">shall be equal to 1 where the two names of sensitivities k and l are identical and the two indices are of the same series, 90 % if the two indices are the same but of </w:t>
            </w:r>
            <w:r w:rsidR="009C3131" w:rsidRPr="009C3131">
              <w:t>distinct </w:t>
            </w:r>
            <w:r w:rsidRPr="00180B8D">
              <w:rPr>
                <w:lang w:val="en-GB"/>
              </w:rPr>
              <w:t xml:space="preserve">series, otherwise it shall be equal to </w:t>
            </w:r>
            <w:proofErr w:type="gramStart"/>
            <w:r w:rsidRPr="00180B8D">
              <w:rPr>
                <w:lang w:val="en-GB"/>
              </w:rPr>
              <w:t>80 %;</w:t>
            </w:r>
            <w:proofErr w:type="gramEnd"/>
          </w:p>
        </w:tc>
      </w:tr>
      <w:tr w:rsidR="00657236" w:rsidRPr="00180B8D" w14:paraId="36DF6C4F" w14:textId="77777777">
        <w:trPr>
          <w:jc w:val="center"/>
        </w:trPr>
        <w:tc>
          <w:tcPr>
            <w:tcW w:w="0" w:type="auto"/>
            <w:tcBorders>
              <w:top w:val="nil"/>
              <w:left w:val="nil"/>
              <w:bottom w:val="nil"/>
              <w:right w:val="nil"/>
            </w:tcBorders>
            <w:tcMar>
              <w:top w:w="24" w:type="dxa"/>
              <w:left w:w="48" w:type="dxa"/>
              <w:bottom w:w="24" w:type="dxa"/>
              <w:right w:w="48" w:type="dxa"/>
            </w:tcMar>
            <w:hideMark/>
          </w:tcPr>
          <w:p w14:paraId="509D6B17" w14:textId="4575CC45" w:rsidR="00657236" w:rsidRPr="00180B8D" w:rsidRDefault="009C3131">
            <w:pPr>
              <w:pStyle w:val="P68B1DB1-Normal2"/>
              <w:spacing w:after="0" w:line="240" w:lineRule="auto"/>
              <w:rPr>
                <w:lang w:val="en-GB"/>
              </w:rPr>
            </w:pPr>
            <w:r>
              <w:rPr>
                <w:noProof/>
              </w:rPr>
              <w:drawing>
                <wp:inline distT="0" distB="0" distL="0" distR="0" wp14:anchorId="2D5F36B6" wp14:editId="5D6F9C46">
                  <wp:extent cx="572770" cy="254635"/>
                  <wp:effectExtent l="0" t="0" r="0" b="0"/>
                  <wp:docPr id="893012859" name="Picture 1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72770" cy="254635"/>
                          </a:xfrm>
                          <a:prstGeom prst="rect">
                            <a:avLst/>
                          </a:prstGeom>
                          <a:noFill/>
                          <a:ln>
                            <a:noFill/>
                          </a:ln>
                        </pic:spPr>
                      </pic:pic>
                    </a:graphicData>
                  </a:graphic>
                </wp:inline>
              </w:drawing>
            </w:r>
          </w:p>
        </w:tc>
        <w:tc>
          <w:tcPr>
            <w:tcW w:w="0" w:type="auto"/>
            <w:tcBorders>
              <w:top w:val="nil"/>
              <w:left w:val="nil"/>
              <w:bottom w:val="nil"/>
              <w:right w:val="nil"/>
            </w:tcBorders>
            <w:tcMar>
              <w:top w:w="24" w:type="dxa"/>
              <w:left w:w="48" w:type="dxa"/>
              <w:bottom w:w="24" w:type="dxa"/>
              <w:right w:w="48" w:type="dxa"/>
            </w:tcMar>
            <w:hideMark/>
          </w:tcPr>
          <w:p w14:paraId="42223F33" w14:textId="77777777" w:rsidR="00657236" w:rsidRPr="00180B8D" w:rsidRDefault="00D655E7">
            <w:pPr>
              <w:pStyle w:val="P68B1DB1-Normal2"/>
              <w:spacing w:after="0" w:line="240" w:lineRule="auto"/>
              <w:rPr>
                <w:lang w:val="en-GB"/>
              </w:rPr>
            </w:pPr>
            <w:r w:rsidRPr="00180B8D">
              <w:rPr>
                <w:lang w:val="en-GB"/>
              </w:rPr>
              <w:t xml:space="preserve">shall be equal to 1 where the two names are both in bucket 11 </w:t>
            </w:r>
            <w:proofErr w:type="gramStart"/>
            <w:r w:rsidRPr="00180B8D">
              <w:rPr>
                <w:lang w:val="en-GB"/>
              </w:rPr>
              <w:t>or</w:t>
            </w:r>
            <w:proofErr w:type="gramEnd"/>
            <w:r w:rsidRPr="00180B8D">
              <w:rPr>
                <w:lang w:val="en-GB"/>
              </w:rPr>
              <w:t xml:space="preserve"> both in bucket 19, otherwise it shall be equal to 80 %.</w:t>
            </w:r>
          </w:p>
        </w:tc>
      </w:tr>
    </w:tbl>
    <w:p w14:paraId="344AD1F1" w14:textId="77777777" w:rsidR="00657236" w:rsidRPr="00180B8D" w:rsidRDefault="00D655E7">
      <w:pPr>
        <w:pStyle w:val="P68B1DB1-Normal3"/>
        <w:spacing w:after="0" w:line="240" w:lineRule="auto"/>
        <w:jc w:val="center"/>
        <w:rPr>
          <w:lang w:val="en-GB"/>
        </w:rPr>
      </w:pPr>
      <w:r w:rsidRPr="00180B8D">
        <w:rPr>
          <w:lang w:val="en-GB"/>
        </w:rPr>
        <w:t>Section 19</w:t>
      </w:r>
    </w:p>
    <w:p w14:paraId="3564C9B7" w14:textId="5928E06E" w:rsidR="00657236" w:rsidRPr="00180B8D" w:rsidRDefault="00BE184D">
      <w:pPr>
        <w:pStyle w:val="P68B1DB1-Normal3"/>
        <w:spacing w:after="0" w:line="240" w:lineRule="auto"/>
        <w:jc w:val="center"/>
        <w:rPr>
          <w:lang w:val="en-GB"/>
        </w:rPr>
      </w:pPr>
      <w:r w:rsidRPr="00BE184D">
        <w:rPr>
          <w:bCs/>
        </w:rPr>
        <w:t>Correlations across buckets for reference credit spread risk</w:t>
      </w:r>
      <w:r w:rsidRPr="00BE184D">
        <w:rPr>
          <w:lang w:val="en-GB"/>
        </w:rPr>
        <w:t xml:space="preserve"> </w:t>
      </w:r>
    </w:p>
    <w:p w14:paraId="769B5009" w14:textId="429711F2" w:rsidR="00657236" w:rsidRPr="00180B8D" w:rsidRDefault="00D655E7">
      <w:pPr>
        <w:pStyle w:val="P68B1DB1-Normal2"/>
        <w:spacing w:after="0" w:line="240" w:lineRule="auto"/>
        <w:ind w:firstLine="567"/>
        <w:jc w:val="both"/>
        <w:rPr>
          <w:lang w:val="en-GB"/>
        </w:rPr>
      </w:pPr>
      <w:r w:rsidRPr="00180B8D">
        <w:rPr>
          <w:b/>
          <w:lang w:val="en-GB"/>
        </w:rPr>
        <w:t>101.</w:t>
      </w:r>
      <w:r w:rsidRPr="00180B8D">
        <w:rPr>
          <w:lang w:val="en-GB"/>
        </w:rPr>
        <w:t xml:space="preserve"> </w:t>
      </w:r>
      <w:r w:rsidR="00BE184D" w:rsidRPr="00BE184D">
        <w:t xml:space="preserve">The cross-bucket correlations for reference credit spread delta risk and reference credit spread </w:t>
      </w:r>
      <w:proofErr w:type="spellStart"/>
      <w:r w:rsidR="00BE184D" w:rsidRPr="00BE184D">
        <w:t>vega</w:t>
      </w:r>
      <w:proofErr w:type="spellEnd"/>
      <w:r w:rsidR="00BE184D" w:rsidRPr="00BE184D">
        <w:t xml:space="preserve"> risk shall be the following</w:t>
      </w:r>
      <w:r w:rsidRPr="00180B8D">
        <w:rPr>
          <w:lang w:val="en-GB"/>
        </w:rPr>
        <w:t>:</w:t>
      </w:r>
    </w:p>
    <w:p w14:paraId="3F5A7250" w14:textId="77777777" w:rsidR="00657236" w:rsidRPr="00180B8D" w:rsidRDefault="00D655E7">
      <w:pPr>
        <w:pStyle w:val="P68B1DB1-Normal4"/>
        <w:spacing w:after="0" w:line="240" w:lineRule="auto"/>
        <w:jc w:val="right"/>
        <w:rPr>
          <w:lang w:val="en-GB"/>
        </w:rPr>
      </w:pPr>
      <w:r w:rsidRPr="00180B8D">
        <w:rPr>
          <w:lang w:val="en-GB"/>
        </w:rPr>
        <w:t>Table 6</w:t>
      </w:r>
    </w:p>
    <w:p w14:paraId="0BE04972" w14:textId="77777777" w:rsidR="00657236" w:rsidRPr="00180B8D" w:rsidRDefault="00D655E7">
      <w:pPr>
        <w:pStyle w:val="P68B1DB1-Normal2"/>
        <w:spacing w:after="0" w:line="240" w:lineRule="auto"/>
        <w:jc w:val="right"/>
        <w:rPr>
          <w:lang w:val="en-GB"/>
        </w:rPr>
      </w:pPr>
      <w:r w:rsidRPr="00180B8D">
        <w:rPr>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16"/>
        <w:gridCol w:w="716"/>
        <w:gridCol w:w="716"/>
        <w:gridCol w:w="716"/>
        <w:gridCol w:w="716"/>
        <w:gridCol w:w="716"/>
        <w:gridCol w:w="716"/>
        <w:gridCol w:w="716"/>
        <w:gridCol w:w="716"/>
        <w:gridCol w:w="716"/>
        <w:gridCol w:w="716"/>
        <w:gridCol w:w="716"/>
      </w:tblGrid>
      <w:tr w:rsidR="00657236" w:rsidRPr="00180B8D" w14:paraId="7C3D6238"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66E60D9" w14:textId="3E6DD91E" w:rsidR="00657236" w:rsidRPr="00180B8D" w:rsidRDefault="00BE184D">
            <w:pPr>
              <w:pStyle w:val="P68B1DB1-Normal1"/>
              <w:spacing w:after="0" w:line="240" w:lineRule="auto"/>
              <w:jc w:val="center"/>
              <w:rPr>
                <w:bCs/>
                <w:lang w:val="en-GB"/>
              </w:rPr>
            </w:pPr>
            <w:r w:rsidRPr="00BE184D">
              <w:rPr>
                <w:bCs/>
              </w:rPr>
              <w:t>Bucket</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38634C8" w14:textId="77777777" w:rsidR="00657236" w:rsidRPr="00180B8D" w:rsidRDefault="00D655E7">
            <w:pPr>
              <w:pStyle w:val="P68B1DB1-Normal1"/>
              <w:spacing w:after="0" w:line="240" w:lineRule="auto"/>
              <w:jc w:val="center"/>
              <w:rPr>
                <w:bCs/>
                <w:lang w:val="en-GB"/>
              </w:rPr>
            </w:pPr>
            <w:r w:rsidRPr="00180B8D">
              <w:rPr>
                <w:lang w:val="en-GB"/>
              </w:rPr>
              <w:t>1, 2 and 12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EA3AF3B" w14:textId="77777777" w:rsidR="00657236" w:rsidRPr="00180B8D" w:rsidRDefault="00D655E7">
            <w:pPr>
              <w:pStyle w:val="P68B1DB1-Normal1"/>
              <w:spacing w:after="0" w:line="240" w:lineRule="auto"/>
              <w:jc w:val="center"/>
              <w:rPr>
                <w:bCs/>
                <w:lang w:val="en-GB"/>
              </w:rPr>
            </w:pPr>
            <w:r w:rsidRPr="00180B8D">
              <w:rPr>
                <w:lang w:val="en-GB"/>
              </w:rPr>
              <w:t>3 and 14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86245B" w14:textId="77777777" w:rsidR="00657236" w:rsidRPr="00180B8D" w:rsidRDefault="00D655E7">
            <w:pPr>
              <w:pStyle w:val="P68B1DB1-Normal1"/>
              <w:spacing w:after="0" w:line="240" w:lineRule="auto"/>
              <w:jc w:val="center"/>
              <w:rPr>
                <w:bCs/>
                <w:lang w:val="en-GB"/>
              </w:rPr>
            </w:pPr>
            <w:r w:rsidRPr="00180B8D">
              <w:rPr>
                <w:lang w:val="en-GB"/>
              </w:rPr>
              <w:t>4 and 15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D2D7A33" w14:textId="77777777" w:rsidR="00657236" w:rsidRPr="00180B8D" w:rsidRDefault="00D655E7">
            <w:pPr>
              <w:pStyle w:val="P68B1DB1-Normal1"/>
              <w:spacing w:after="0" w:line="240" w:lineRule="auto"/>
              <w:jc w:val="center"/>
              <w:rPr>
                <w:bCs/>
                <w:lang w:val="en-GB"/>
              </w:rPr>
            </w:pPr>
            <w:r w:rsidRPr="00180B8D">
              <w:rPr>
                <w:lang w:val="en-GB"/>
              </w:rPr>
              <w:t>5 and 16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4B5A06A" w14:textId="77777777" w:rsidR="00657236" w:rsidRPr="00180B8D" w:rsidRDefault="00D655E7">
            <w:pPr>
              <w:pStyle w:val="P68B1DB1-Normal1"/>
              <w:spacing w:after="0" w:line="240" w:lineRule="auto"/>
              <w:jc w:val="center"/>
              <w:rPr>
                <w:bCs/>
                <w:lang w:val="en-GB"/>
              </w:rPr>
            </w:pPr>
            <w:r w:rsidRPr="00180B8D">
              <w:rPr>
                <w:lang w:val="en-GB"/>
              </w:rPr>
              <w:t>6 and 17</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6D7CA96" w14:textId="77777777" w:rsidR="00657236" w:rsidRPr="00180B8D" w:rsidRDefault="00D655E7">
            <w:pPr>
              <w:pStyle w:val="P68B1DB1-Normal1"/>
              <w:spacing w:after="0" w:line="240" w:lineRule="auto"/>
              <w:jc w:val="center"/>
              <w:rPr>
                <w:bCs/>
                <w:lang w:val="en-GB"/>
              </w:rPr>
            </w:pPr>
            <w:r w:rsidRPr="00180B8D">
              <w:rPr>
                <w:lang w:val="en-GB"/>
              </w:rPr>
              <w:t>7 and 18</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83D2A7" w14:textId="77777777" w:rsidR="00657236" w:rsidRPr="00180B8D" w:rsidRDefault="00D655E7">
            <w:pPr>
              <w:pStyle w:val="P68B1DB1-Normal1"/>
              <w:spacing w:after="0" w:line="240" w:lineRule="auto"/>
              <w:jc w:val="center"/>
              <w:rPr>
                <w:bCs/>
                <w:lang w:val="en-GB"/>
              </w:rPr>
            </w:pPr>
            <w:r w:rsidRPr="00180B8D">
              <w:rPr>
                <w:lang w:val="en-GB"/>
              </w:rPr>
              <w:t>8 and 19</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F353BA9" w14:textId="77777777" w:rsidR="00657236" w:rsidRPr="00180B8D" w:rsidRDefault="00D655E7">
            <w:pPr>
              <w:pStyle w:val="P68B1DB1-Normal1"/>
              <w:spacing w:after="0" w:line="240" w:lineRule="auto"/>
              <w:jc w:val="center"/>
              <w:rPr>
                <w:bCs/>
                <w:lang w:val="en-GB"/>
              </w:rPr>
            </w:pPr>
            <w:r w:rsidRPr="00180B8D">
              <w:rPr>
                <w:lang w:val="en-GB"/>
              </w:rPr>
              <w:t>9 and 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383ED149" w14:textId="77777777" w:rsidR="00657236" w:rsidRPr="00180B8D" w:rsidRDefault="00D655E7">
            <w:pPr>
              <w:pStyle w:val="P68B1DB1-Normal1"/>
              <w:spacing w:after="0" w:line="240" w:lineRule="auto"/>
              <w:jc w:val="center"/>
              <w:rPr>
                <w:bCs/>
                <w:lang w:val="en-GB"/>
              </w:rPr>
            </w:pPr>
            <w:r w:rsidRPr="00180B8D">
              <w:rPr>
                <w:lang w:val="en-GB"/>
              </w:rPr>
              <w:t>20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5CEF9FFB" w14:textId="77777777" w:rsidR="00657236" w:rsidRPr="00180B8D" w:rsidRDefault="00D655E7">
            <w:pPr>
              <w:pStyle w:val="P68B1DB1-Normal1"/>
              <w:spacing w:after="0" w:line="240" w:lineRule="auto"/>
              <w:jc w:val="center"/>
              <w:rPr>
                <w:bCs/>
                <w:lang w:val="en-GB"/>
              </w:rPr>
            </w:pPr>
            <w:r w:rsidRPr="00180B8D">
              <w:rPr>
                <w:lang w:val="en-GB"/>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FD93E71" w14:textId="77777777" w:rsidR="00657236" w:rsidRPr="00180B8D" w:rsidRDefault="00D655E7">
            <w:pPr>
              <w:pStyle w:val="P68B1DB1-Normal1"/>
              <w:spacing w:after="0" w:line="240" w:lineRule="auto"/>
              <w:jc w:val="center"/>
              <w:rPr>
                <w:bCs/>
                <w:lang w:val="en-GB"/>
              </w:rPr>
            </w:pPr>
            <w:r w:rsidRPr="00180B8D">
              <w:rPr>
                <w:lang w:val="en-GB"/>
              </w:rPr>
              <w:t>19</w:t>
            </w:r>
          </w:p>
        </w:tc>
      </w:tr>
      <w:tr w:rsidR="00657236" w:rsidRPr="00180B8D" w14:paraId="12B26B3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EDF135" w14:textId="77777777" w:rsidR="00657236" w:rsidRPr="00180B8D" w:rsidRDefault="00D655E7">
            <w:pPr>
              <w:pStyle w:val="P68B1DB1-Normal2"/>
              <w:spacing w:after="0" w:line="240" w:lineRule="auto"/>
              <w:rPr>
                <w:lang w:val="en-GB"/>
              </w:rPr>
            </w:pPr>
            <w:r w:rsidRPr="00180B8D">
              <w:rPr>
                <w:lang w:val="en-GB"/>
              </w:rPr>
              <w:t>1, 2 and 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B69A1"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0200421" w14:textId="77777777" w:rsidR="00657236" w:rsidRPr="00180B8D" w:rsidRDefault="00D655E7">
            <w:pPr>
              <w:pStyle w:val="P68B1DB1-Normal2"/>
              <w:spacing w:after="0" w:line="240" w:lineRule="auto"/>
              <w:jc w:val="center"/>
              <w:rPr>
                <w:lang w:val="en-GB"/>
              </w:rPr>
            </w:pPr>
            <w:r w:rsidRPr="00180B8D">
              <w:rPr>
                <w:lang w:val="en-GB"/>
              </w:rPr>
              <w:t>75 %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B3A23" w14:textId="77777777" w:rsidR="00657236" w:rsidRPr="00180B8D" w:rsidRDefault="00D655E7">
            <w:pPr>
              <w:pStyle w:val="P68B1DB1-Normal2"/>
              <w:spacing w:after="0" w:line="240" w:lineRule="auto"/>
              <w:jc w:val="center"/>
              <w:rPr>
                <w:lang w:val="en-GB"/>
              </w:rPr>
            </w:pPr>
            <w:r w:rsidRPr="00180B8D">
              <w:rPr>
                <w:lang w:val="en-GB"/>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020384"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4DBEA3" w14:textId="77777777" w:rsidR="00657236" w:rsidRPr="00180B8D" w:rsidRDefault="00D655E7">
            <w:pPr>
              <w:pStyle w:val="P68B1DB1-Normal2"/>
              <w:spacing w:after="0" w:line="240" w:lineRule="auto"/>
              <w:jc w:val="center"/>
              <w:rPr>
                <w:lang w:val="en-GB"/>
              </w:rPr>
            </w:pPr>
            <w:r w:rsidRPr="00180B8D">
              <w:rPr>
                <w:lang w:val="en-GB"/>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974B68"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34A69B" w14:textId="77777777" w:rsidR="00657236" w:rsidRPr="00180B8D" w:rsidRDefault="00D655E7">
            <w:pPr>
              <w:pStyle w:val="P68B1DB1-Normal2"/>
              <w:spacing w:after="0" w:line="240" w:lineRule="auto"/>
              <w:jc w:val="center"/>
              <w:rPr>
                <w:lang w:val="en-GB"/>
              </w:rPr>
            </w:pPr>
            <w:r w:rsidRPr="00180B8D">
              <w:rPr>
                <w:lang w:val="en-GB"/>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E84946" w14:textId="77777777" w:rsidR="00657236" w:rsidRPr="00180B8D" w:rsidRDefault="00D655E7">
            <w:pPr>
              <w:pStyle w:val="P68B1DB1-Normal2"/>
              <w:spacing w:after="0" w:line="240" w:lineRule="auto"/>
              <w:jc w:val="center"/>
              <w:rPr>
                <w:lang w:val="en-GB"/>
              </w:rPr>
            </w:pPr>
            <w:r w:rsidRPr="00180B8D">
              <w:rPr>
                <w:lang w:val="en-GB"/>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4FC86A"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C85702" w14:textId="77777777" w:rsidR="00657236" w:rsidRPr="00180B8D" w:rsidRDefault="00D655E7">
            <w:pPr>
              <w:pStyle w:val="P68B1DB1-Normal2"/>
              <w:spacing w:after="0" w:line="240" w:lineRule="auto"/>
              <w:jc w:val="center"/>
              <w:rPr>
                <w:lang w:val="en-GB"/>
              </w:rPr>
            </w:pPr>
            <w:r w:rsidRPr="00180B8D">
              <w:rPr>
                <w:lang w:val="en-GB"/>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BED306"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3F7CF08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C7F552" w14:textId="77777777" w:rsidR="00657236" w:rsidRPr="00180B8D" w:rsidRDefault="00D655E7">
            <w:pPr>
              <w:pStyle w:val="P68B1DB1-Normal2"/>
              <w:spacing w:after="0" w:line="240" w:lineRule="auto"/>
              <w:rPr>
                <w:lang w:val="en-GB"/>
              </w:rPr>
            </w:pPr>
            <w:r w:rsidRPr="00180B8D">
              <w:rPr>
                <w:lang w:val="en-GB"/>
              </w:rPr>
              <w:t>3 and 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B2A8C"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3C1BF1"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08D9A5"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927AC3" w14:textId="77777777" w:rsidR="00657236" w:rsidRPr="00180B8D" w:rsidRDefault="00D655E7">
            <w:pPr>
              <w:pStyle w:val="P68B1DB1-Normal2"/>
              <w:spacing w:after="0" w:line="240" w:lineRule="auto"/>
              <w:jc w:val="center"/>
              <w:rPr>
                <w:lang w:val="en-GB"/>
              </w:rPr>
            </w:pPr>
            <w:r w:rsidRPr="00180B8D">
              <w:rPr>
                <w:lang w:val="en-GB"/>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C735E"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629F89" w14:textId="77777777" w:rsidR="00657236" w:rsidRPr="00180B8D" w:rsidRDefault="00D655E7">
            <w:pPr>
              <w:pStyle w:val="P68B1DB1-Normal2"/>
              <w:spacing w:after="0" w:line="240" w:lineRule="auto"/>
              <w:jc w:val="center"/>
              <w:rPr>
                <w:lang w:val="en-GB"/>
              </w:rPr>
            </w:pPr>
            <w:r w:rsidRPr="00180B8D">
              <w:rPr>
                <w:lang w:val="en-GB"/>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8F2210" w14:textId="77777777" w:rsidR="00657236" w:rsidRPr="00180B8D" w:rsidRDefault="00D655E7">
            <w:pPr>
              <w:pStyle w:val="P68B1DB1-Normal2"/>
              <w:spacing w:after="0" w:line="240" w:lineRule="auto"/>
              <w:jc w:val="center"/>
              <w:rPr>
                <w:lang w:val="en-GB"/>
              </w:rPr>
            </w:pPr>
            <w:r w:rsidRPr="00180B8D">
              <w:rPr>
                <w:lang w:val="en-GB"/>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1A8ABD" w14:textId="77777777" w:rsidR="00657236" w:rsidRPr="00180B8D" w:rsidRDefault="00D655E7">
            <w:pPr>
              <w:pStyle w:val="P68B1DB1-Normal2"/>
              <w:spacing w:after="0" w:line="240" w:lineRule="auto"/>
              <w:jc w:val="center"/>
              <w:rPr>
                <w:lang w:val="en-GB"/>
              </w:rPr>
            </w:pPr>
            <w:r w:rsidRPr="00180B8D">
              <w:rPr>
                <w:lang w:val="en-GB"/>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496713"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042BD4" w14:textId="77777777" w:rsidR="00657236" w:rsidRPr="00180B8D" w:rsidRDefault="00D655E7">
            <w:pPr>
              <w:pStyle w:val="P68B1DB1-Normal2"/>
              <w:spacing w:after="0" w:line="240" w:lineRule="auto"/>
              <w:jc w:val="center"/>
              <w:rPr>
                <w:lang w:val="en-GB"/>
              </w:rPr>
            </w:pPr>
            <w:r w:rsidRPr="00180B8D">
              <w:rPr>
                <w:lang w:val="en-GB"/>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123B61"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00103CC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232682" w14:textId="77777777" w:rsidR="00657236" w:rsidRPr="00180B8D" w:rsidRDefault="00D655E7">
            <w:pPr>
              <w:pStyle w:val="P68B1DB1-Normal2"/>
              <w:spacing w:after="0" w:line="240" w:lineRule="auto"/>
              <w:rPr>
                <w:lang w:val="en-GB"/>
              </w:rPr>
            </w:pPr>
            <w:r w:rsidRPr="00180B8D">
              <w:rPr>
                <w:lang w:val="en-GB"/>
              </w:rPr>
              <w:t>4 and 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9120E"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869234"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A3BD0A"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9814E8"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66CDD0" w14:textId="77777777" w:rsidR="00657236" w:rsidRPr="00180B8D" w:rsidRDefault="00D655E7">
            <w:pPr>
              <w:pStyle w:val="P68B1DB1-Normal2"/>
              <w:spacing w:after="0" w:line="240" w:lineRule="auto"/>
              <w:jc w:val="center"/>
              <w:rPr>
                <w:lang w:val="en-GB"/>
              </w:rPr>
            </w:pPr>
            <w:r w:rsidRPr="00180B8D">
              <w:rPr>
                <w:lang w:val="en-GB"/>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7F293FB"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023E1D9"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9BF741"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696602"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7B3C10" w14:textId="77777777" w:rsidR="00657236" w:rsidRPr="00180B8D" w:rsidRDefault="00D655E7">
            <w:pPr>
              <w:pStyle w:val="P68B1DB1-Normal2"/>
              <w:spacing w:after="0" w:line="240" w:lineRule="auto"/>
              <w:jc w:val="center"/>
              <w:rPr>
                <w:lang w:val="en-GB"/>
              </w:rPr>
            </w:pPr>
            <w:r w:rsidRPr="00180B8D">
              <w:rPr>
                <w:lang w:val="en-GB"/>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1BBE36A"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4757882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9F8DEB6" w14:textId="77777777" w:rsidR="00657236" w:rsidRPr="00180B8D" w:rsidRDefault="00D655E7">
            <w:pPr>
              <w:pStyle w:val="P68B1DB1-Normal2"/>
              <w:spacing w:after="0" w:line="240" w:lineRule="auto"/>
              <w:rPr>
                <w:lang w:val="en-GB"/>
              </w:rPr>
            </w:pPr>
            <w:r w:rsidRPr="00180B8D">
              <w:rPr>
                <w:lang w:val="en-GB"/>
              </w:rPr>
              <w:t>5 and 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84B0FB"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C864B8C"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0CEA43"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83F337"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166DE1"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8235F8" w14:textId="77777777" w:rsidR="00657236" w:rsidRPr="00180B8D" w:rsidRDefault="00D655E7">
            <w:pPr>
              <w:pStyle w:val="P68B1DB1-Normal2"/>
              <w:spacing w:after="0" w:line="240" w:lineRule="auto"/>
              <w:jc w:val="center"/>
              <w:rPr>
                <w:lang w:val="en-GB"/>
              </w:rPr>
            </w:pPr>
            <w:r w:rsidRPr="00180B8D">
              <w:rPr>
                <w:lang w:val="en-GB"/>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5D2DC8"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B21E75"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474F4F"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6BA7D9D" w14:textId="77777777" w:rsidR="00657236" w:rsidRPr="00180B8D" w:rsidRDefault="00D655E7">
            <w:pPr>
              <w:pStyle w:val="P68B1DB1-Normal2"/>
              <w:spacing w:after="0" w:line="240" w:lineRule="auto"/>
              <w:jc w:val="center"/>
              <w:rPr>
                <w:lang w:val="en-GB"/>
              </w:rPr>
            </w:pPr>
            <w:r w:rsidRPr="00180B8D">
              <w:rPr>
                <w:lang w:val="en-GB"/>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71C9CD"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00B9E57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1003DD" w14:textId="77777777" w:rsidR="00657236" w:rsidRPr="00180B8D" w:rsidRDefault="00D655E7">
            <w:pPr>
              <w:pStyle w:val="P68B1DB1-Normal2"/>
              <w:spacing w:after="0" w:line="240" w:lineRule="auto"/>
              <w:rPr>
                <w:lang w:val="en-GB"/>
              </w:rPr>
            </w:pPr>
            <w:r w:rsidRPr="00180B8D">
              <w:rPr>
                <w:lang w:val="en-GB"/>
              </w:rPr>
              <w:t>6 and 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70DCC5"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5D26735"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CE169F"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446BEB5"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0F03C9"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1134A7" w14:textId="77777777" w:rsidR="00657236" w:rsidRPr="00180B8D" w:rsidRDefault="00D655E7">
            <w:pPr>
              <w:pStyle w:val="P68B1DB1-Normal2"/>
              <w:spacing w:after="0" w:line="240" w:lineRule="auto"/>
              <w:jc w:val="center"/>
              <w:rPr>
                <w:lang w:val="en-GB"/>
              </w:rPr>
            </w:pPr>
            <w:r w:rsidRPr="00180B8D">
              <w:rPr>
                <w:lang w:val="en-GB"/>
              </w:rPr>
              <w:t>25 %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1D9D19"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E2084ED" w14:textId="77777777" w:rsidR="00657236" w:rsidRPr="00180B8D" w:rsidRDefault="00D655E7">
            <w:pPr>
              <w:pStyle w:val="P68B1DB1-Normal2"/>
              <w:spacing w:after="0" w:line="240" w:lineRule="auto"/>
              <w:jc w:val="center"/>
              <w:rPr>
                <w:lang w:val="en-GB"/>
              </w:rPr>
            </w:pPr>
            <w:r w:rsidRPr="00180B8D">
              <w:rPr>
                <w:lang w:val="en-GB"/>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984C17"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ABFFF2" w14:textId="77777777" w:rsidR="00657236" w:rsidRPr="00180B8D" w:rsidRDefault="00D655E7">
            <w:pPr>
              <w:pStyle w:val="P68B1DB1-Normal2"/>
              <w:spacing w:after="0" w:line="240" w:lineRule="auto"/>
              <w:jc w:val="center"/>
              <w:rPr>
                <w:lang w:val="en-GB"/>
              </w:rPr>
            </w:pPr>
            <w:r w:rsidRPr="00180B8D">
              <w:rPr>
                <w:lang w:val="en-GB"/>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A86CED7"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50BB6F1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A524DA" w14:textId="77777777" w:rsidR="00657236" w:rsidRPr="00180B8D" w:rsidRDefault="00D655E7">
            <w:pPr>
              <w:pStyle w:val="P68B1DB1-Normal2"/>
              <w:spacing w:after="0" w:line="240" w:lineRule="auto"/>
              <w:rPr>
                <w:lang w:val="en-GB"/>
              </w:rPr>
            </w:pPr>
            <w:r w:rsidRPr="00180B8D">
              <w:rPr>
                <w:lang w:val="en-GB"/>
              </w:rPr>
              <w:t>7 and 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83AD7E"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A3882D"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ABF22D"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767B4C"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64C902"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280269F"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95673E3"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A881F1"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F8DB00C"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A7B0BA" w14:textId="77777777" w:rsidR="00657236" w:rsidRPr="00180B8D" w:rsidRDefault="00D655E7">
            <w:pPr>
              <w:pStyle w:val="P68B1DB1-Normal2"/>
              <w:spacing w:after="0" w:line="240" w:lineRule="auto"/>
              <w:jc w:val="center"/>
              <w:rPr>
                <w:lang w:val="en-GB"/>
              </w:rPr>
            </w:pPr>
            <w:r w:rsidRPr="00180B8D">
              <w:rPr>
                <w:lang w:val="en-GB"/>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33867F"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104D9DA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A15444" w14:textId="77777777" w:rsidR="00657236" w:rsidRPr="00180B8D" w:rsidRDefault="00D655E7">
            <w:pPr>
              <w:pStyle w:val="P68B1DB1-Normal2"/>
              <w:spacing w:after="0" w:line="240" w:lineRule="auto"/>
              <w:rPr>
                <w:lang w:val="en-GB"/>
              </w:rPr>
            </w:pPr>
            <w:r w:rsidRPr="00180B8D">
              <w:rPr>
                <w:lang w:val="en-GB"/>
              </w:rPr>
              <w:t>8 and 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52A9429"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D82D278"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ED11CD0"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4B1B87"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6BB3DA"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DF99AC"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172F68"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826D0A" w14:textId="77777777" w:rsidR="00657236" w:rsidRPr="00180B8D" w:rsidRDefault="00D655E7">
            <w:pPr>
              <w:pStyle w:val="P68B1DB1-Normal2"/>
              <w:spacing w:after="0" w:line="240" w:lineRule="auto"/>
              <w:jc w:val="center"/>
              <w:rPr>
                <w:lang w:val="en-GB"/>
              </w:rPr>
            </w:pPr>
            <w:r w:rsidRPr="00180B8D">
              <w:rPr>
                <w:lang w:val="en-GB"/>
              </w:rPr>
              <w:t>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9E04AE"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5267534" w14:textId="77777777" w:rsidR="00657236" w:rsidRPr="00180B8D" w:rsidRDefault="00D655E7">
            <w:pPr>
              <w:pStyle w:val="P68B1DB1-Normal2"/>
              <w:spacing w:after="0" w:line="240" w:lineRule="auto"/>
              <w:jc w:val="center"/>
              <w:rPr>
                <w:lang w:val="en-GB"/>
              </w:rPr>
            </w:pPr>
            <w:r w:rsidRPr="00180B8D">
              <w:rPr>
                <w:lang w:val="en-GB"/>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6B3E9B"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1F38E02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A68F67" w14:textId="77777777" w:rsidR="00657236" w:rsidRPr="00180B8D" w:rsidRDefault="00D655E7">
            <w:pPr>
              <w:pStyle w:val="P68B1DB1-Normal2"/>
              <w:spacing w:after="0" w:line="240" w:lineRule="auto"/>
              <w:rPr>
                <w:lang w:val="en-GB"/>
              </w:rPr>
            </w:pPr>
            <w:r w:rsidRPr="00180B8D">
              <w:rPr>
                <w:lang w:val="en-GB"/>
              </w:rPr>
              <w:t>9 and 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D81392"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73A7E0"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FBFC24"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904BAA9"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79A71C"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0C9C1D"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9CDCE30"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6BF67B"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BADDE"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DA9E7AD" w14:textId="77777777" w:rsidR="00657236" w:rsidRPr="00180B8D" w:rsidRDefault="00D655E7">
            <w:pPr>
              <w:pStyle w:val="P68B1DB1-Normal2"/>
              <w:spacing w:after="0" w:line="240" w:lineRule="auto"/>
              <w:jc w:val="center"/>
              <w:rPr>
                <w:lang w:val="en-GB"/>
              </w:rPr>
            </w:pPr>
            <w:r w:rsidRPr="00180B8D">
              <w:rPr>
                <w:lang w:val="en-GB"/>
              </w:rPr>
              <w:t>45 %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29C35F"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3F154F9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3FC7E20" w14:textId="77777777" w:rsidR="00657236" w:rsidRPr="00180B8D" w:rsidRDefault="00D655E7">
            <w:pPr>
              <w:pStyle w:val="P68B1DB1-Normal2"/>
              <w:spacing w:after="0" w:line="240" w:lineRule="auto"/>
              <w:rPr>
                <w:lang w:val="en-GB"/>
              </w:rPr>
            </w:pPr>
            <w:r w:rsidRPr="00180B8D">
              <w:rPr>
                <w:lang w:val="en-GB"/>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7F8DC7"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6F0AAD"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F93A3B"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A3BC9CA"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2B94650"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CB55AF"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BA3069F"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41D8E8"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2AF947"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A9C6B9" w14:textId="77777777" w:rsidR="00657236" w:rsidRPr="00180B8D" w:rsidRDefault="00D655E7">
            <w:pPr>
              <w:pStyle w:val="P68B1DB1-Normal2"/>
              <w:spacing w:after="0" w:line="240" w:lineRule="auto"/>
              <w:jc w:val="center"/>
              <w:rPr>
                <w:lang w:val="en-GB"/>
              </w:rPr>
            </w:pPr>
            <w:r w:rsidRPr="00180B8D">
              <w:rPr>
                <w:lang w:val="en-GB"/>
              </w:rPr>
              <w:t>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398E4F" w14:textId="77777777" w:rsidR="00657236" w:rsidRPr="00180B8D" w:rsidRDefault="00D655E7">
            <w:pPr>
              <w:pStyle w:val="P68B1DB1-Normal2"/>
              <w:spacing w:after="0" w:line="240" w:lineRule="auto"/>
              <w:jc w:val="center"/>
              <w:rPr>
                <w:lang w:val="en-GB"/>
              </w:rPr>
            </w:pPr>
            <w:r w:rsidRPr="00180B8D">
              <w:rPr>
                <w:lang w:val="en-GB"/>
              </w:rPr>
              <w:t>0 %</w:t>
            </w:r>
          </w:p>
        </w:tc>
      </w:tr>
      <w:tr w:rsidR="00657236" w:rsidRPr="00180B8D" w14:paraId="6B751D5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9BBE28" w14:textId="77777777" w:rsidR="00657236" w:rsidRPr="00180B8D" w:rsidRDefault="00D655E7">
            <w:pPr>
              <w:pStyle w:val="P68B1DB1-Normal2"/>
              <w:spacing w:after="0" w:line="240" w:lineRule="auto"/>
              <w:rPr>
                <w:lang w:val="en-GB"/>
              </w:rPr>
            </w:pPr>
            <w:r w:rsidRPr="00180B8D">
              <w:rPr>
                <w:lang w:val="en-GB"/>
              </w:rPr>
              <w:lastRenderedPageBreak/>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4DADE00"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8354D4"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85A3702"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FD3A72"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B7DE69"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DC486B"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D32EC0"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9B55B96"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D87492E"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0F52AF" w14:textId="77777777" w:rsidR="00657236" w:rsidRPr="00180B8D" w:rsidRDefault="00D655E7">
            <w:pPr>
              <w:pStyle w:val="P68B1DB1-Normal2"/>
              <w:spacing w:after="0" w:line="240" w:lineRule="auto"/>
              <w:jc w:val="center"/>
              <w:rPr>
                <w:lang w:val="en-GB"/>
              </w:rPr>
            </w:pPr>
            <w:r w:rsidRPr="00180B8D">
              <w:rPr>
                <w:lang w:val="en-GB"/>
              </w:rPr>
              <w:t>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E3EFD8" w14:textId="77777777" w:rsidR="00657236" w:rsidRPr="00180B8D" w:rsidRDefault="00D655E7">
            <w:pPr>
              <w:pStyle w:val="P68B1DB1-Normal2"/>
              <w:spacing w:after="0" w:line="240" w:lineRule="auto"/>
              <w:jc w:val="center"/>
              <w:rPr>
                <w:lang w:val="en-GB"/>
              </w:rPr>
            </w:pPr>
            <w:r w:rsidRPr="00180B8D">
              <w:rPr>
                <w:lang w:val="en-GB"/>
              </w:rPr>
              <w:t>75 %</w:t>
            </w:r>
          </w:p>
        </w:tc>
      </w:tr>
      <w:tr w:rsidR="00657236" w:rsidRPr="00180B8D" w14:paraId="2C5B557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F46835" w14:textId="77777777" w:rsidR="00657236" w:rsidRPr="00180B8D" w:rsidRDefault="00D655E7">
            <w:pPr>
              <w:pStyle w:val="P68B1DB1-Normal2"/>
              <w:spacing w:after="0" w:line="240" w:lineRule="auto"/>
              <w:rPr>
                <w:lang w:val="en-GB"/>
              </w:rPr>
            </w:pPr>
            <w:r w:rsidRPr="00180B8D">
              <w:rPr>
                <w:lang w:val="en-GB"/>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4E70A0"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38CE2"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7807D04"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748BDCC"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CA61B0D"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B68C573"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D6B8CD7"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206F98F"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A0BA8A"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12126EF" w14:textId="77777777" w:rsidR="00657236" w:rsidRPr="00180B8D" w:rsidRDefault="00657236">
            <w:pPr>
              <w:spacing w:after="0" w:line="240" w:lineRule="auto"/>
              <w:jc w:val="center"/>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FDF80C2" w14:textId="77777777" w:rsidR="00657236" w:rsidRPr="00180B8D" w:rsidRDefault="00D655E7">
            <w:pPr>
              <w:pStyle w:val="P68B1DB1-Normal2"/>
              <w:spacing w:after="0" w:line="240" w:lineRule="auto"/>
              <w:jc w:val="center"/>
              <w:rPr>
                <w:lang w:val="en-GB"/>
              </w:rPr>
            </w:pPr>
            <w:r w:rsidRPr="00180B8D">
              <w:rPr>
                <w:lang w:val="en-GB"/>
              </w:rPr>
              <w:t>100 %</w:t>
            </w:r>
          </w:p>
        </w:tc>
      </w:tr>
    </w:tbl>
    <w:p w14:paraId="46EA788B" w14:textId="77777777" w:rsidR="00657236" w:rsidRPr="00180B8D" w:rsidRDefault="00D655E7">
      <w:pPr>
        <w:pStyle w:val="P68B1DB1-Normal2"/>
        <w:spacing w:after="0" w:line="240" w:lineRule="auto"/>
        <w:ind w:firstLine="567"/>
        <w:jc w:val="both"/>
        <w:rPr>
          <w:lang w:val="en-GB"/>
        </w:rPr>
      </w:pPr>
      <w:r w:rsidRPr="00180B8D">
        <w:rPr>
          <w:lang w:val="en-GB"/>
        </w:rPr>
        <w:t> </w:t>
      </w:r>
    </w:p>
    <w:p w14:paraId="2C1F3CD2" w14:textId="5A95C4E3" w:rsidR="00657236" w:rsidRPr="00180B8D" w:rsidRDefault="00D655E7">
      <w:pPr>
        <w:pStyle w:val="P68B1DB1-Normal2"/>
        <w:spacing w:after="0" w:line="240" w:lineRule="auto"/>
        <w:ind w:firstLine="567"/>
        <w:jc w:val="both"/>
        <w:rPr>
          <w:lang w:val="en-GB"/>
        </w:rPr>
      </w:pPr>
      <w:r w:rsidRPr="00180B8D">
        <w:rPr>
          <w:b/>
          <w:lang w:val="en-GB"/>
        </w:rPr>
        <w:t>102.</w:t>
      </w:r>
      <w:r w:rsidRPr="00180B8D">
        <w:rPr>
          <w:lang w:val="en-GB"/>
        </w:rPr>
        <w:t xml:space="preserve"> By way of derogation from paragraph 101, </w:t>
      </w:r>
      <w:r w:rsidR="00BE184D" w:rsidRPr="00BE184D">
        <w:t>the cross-bucket correlation values</w:t>
      </w:r>
      <w:r w:rsidR="00BE184D">
        <w:t xml:space="preserve"> </w:t>
      </w:r>
      <w:r w:rsidRPr="00180B8D">
        <w:rPr>
          <w:lang w:val="en-GB"/>
        </w:rPr>
        <w:t xml:space="preserve">calculated in that paragraph shall be divided by 2 for correlations between a bucket </w:t>
      </w:r>
      <w:r w:rsidR="00BE184D">
        <w:rPr>
          <w:lang w:val="en-GB"/>
        </w:rPr>
        <w:t>from the</w:t>
      </w:r>
      <w:r w:rsidRPr="00180B8D">
        <w:rPr>
          <w:lang w:val="en-GB"/>
        </w:rPr>
        <w:t xml:space="preserve"> group </w:t>
      </w:r>
      <w:r w:rsidR="00BE184D">
        <w:rPr>
          <w:lang w:val="en-GB"/>
        </w:rPr>
        <w:t xml:space="preserve">of buckets </w:t>
      </w:r>
      <w:r w:rsidRPr="00180B8D">
        <w:rPr>
          <w:lang w:val="en-GB"/>
        </w:rPr>
        <w:t xml:space="preserve">1 to 10 and a bucket </w:t>
      </w:r>
      <w:r w:rsidR="00BE184D">
        <w:rPr>
          <w:lang w:val="en-GB"/>
        </w:rPr>
        <w:t>from the</w:t>
      </w:r>
      <w:r w:rsidRPr="00180B8D">
        <w:rPr>
          <w:lang w:val="en-GB"/>
        </w:rPr>
        <w:t xml:space="preserve"> group</w:t>
      </w:r>
      <w:r w:rsidR="00BE184D">
        <w:rPr>
          <w:lang w:val="en-GB"/>
        </w:rPr>
        <w:t xml:space="preserve"> </w:t>
      </w:r>
      <w:r w:rsidR="00BE184D" w:rsidRPr="00BE184D">
        <w:t>of buckets</w:t>
      </w:r>
      <w:r w:rsidRPr="00180B8D">
        <w:rPr>
          <w:lang w:val="en-GB"/>
        </w:rPr>
        <w:t xml:space="preserve"> 12 to 18.</w:t>
      </w:r>
    </w:p>
    <w:p w14:paraId="456D1357" w14:textId="77777777" w:rsidR="00657236" w:rsidRPr="00180B8D" w:rsidRDefault="00D655E7">
      <w:pPr>
        <w:pStyle w:val="P68B1DB1-Normal2"/>
        <w:spacing w:after="0" w:line="240" w:lineRule="auto"/>
        <w:jc w:val="center"/>
        <w:rPr>
          <w:lang w:val="en-GB"/>
        </w:rPr>
      </w:pPr>
      <w:r w:rsidRPr="00180B8D">
        <w:rPr>
          <w:lang w:val="en-GB"/>
        </w:rPr>
        <w:t> </w:t>
      </w:r>
    </w:p>
    <w:p w14:paraId="048BBC49" w14:textId="77777777" w:rsidR="00657236" w:rsidRPr="00180B8D" w:rsidRDefault="00D655E7">
      <w:pPr>
        <w:pStyle w:val="P68B1DB1-Normal3"/>
        <w:spacing w:after="0" w:line="240" w:lineRule="auto"/>
        <w:jc w:val="center"/>
        <w:rPr>
          <w:lang w:val="en-GB"/>
        </w:rPr>
      </w:pPr>
      <w:r w:rsidRPr="00180B8D">
        <w:rPr>
          <w:lang w:val="en-GB"/>
        </w:rPr>
        <w:t>Section 20</w:t>
      </w:r>
    </w:p>
    <w:p w14:paraId="7FC30186" w14:textId="77777777" w:rsidR="00657236" w:rsidRPr="00180B8D" w:rsidRDefault="00D655E7">
      <w:pPr>
        <w:pStyle w:val="P68B1DB1-Normal3"/>
        <w:spacing w:after="0" w:line="240" w:lineRule="auto"/>
        <w:jc w:val="center"/>
        <w:rPr>
          <w:lang w:val="en-GB"/>
        </w:rPr>
      </w:pPr>
      <w:r w:rsidRPr="00180B8D">
        <w:rPr>
          <w:lang w:val="en-GB"/>
        </w:rPr>
        <w:t>Risk weight buckets for equity risk</w:t>
      </w:r>
    </w:p>
    <w:p w14:paraId="771E7D0B" w14:textId="546ED087" w:rsidR="00657236" w:rsidRPr="00180B8D" w:rsidRDefault="00D655E7">
      <w:pPr>
        <w:pStyle w:val="P68B1DB1-Normal3"/>
        <w:spacing w:after="0" w:line="240" w:lineRule="auto"/>
        <w:jc w:val="center"/>
        <w:rPr>
          <w:lang w:val="en-GB"/>
        </w:rPr>
      </w:pPr>
      <w:r w:rsidRPr="00180B8D">
        <w:rPr>
          <w:lang w:val="en-GB"/>
        </w:rPr>
        <w:t xml:space="preserve">and </w:t>
      </w:r>
      <w:r w:rsidR="00C15E27">
        <w:rPr>
          <w:bCs/>
        </w:rPr>
        <w:t>c</w:t>
      </w:r>
      <w:r w:rsidR="00C15E27" w:rsidRPr="00C15E27">
        <w:rPr>
          <w:bCs/>
        </w:rPr>
        <w:t>orrelations across buckets for equity risk</w:t>
      </w:r>
    </w:p>
    <w:p w14:paraId="67B00980" w14:textId="77777777" w:rsidR="00657236" w:rsidRPr="00180B8D" w:rsidRDefault="00D655E7">
      <w:pPr>
        <w:pStyle w:val="P68B1DB1-Normal2"/>
        <w:spacing w:after="0" w:line="240" w:lineRule="auto"/>
        <w:ind w:firstLine="567"/>
        <w:jc w:val="both"/>
        <w:rPr>
          <w:lang w:val="en-GB"/>
        </w:rPr>
      </w:pPr>
      <w:r w:rsidRPr="00180B8D">
        <w:rPr>
          <w:b/>
          <w:lang w:val="en-GB"/>
        </w:rPr>
        <w:t>103.</w:t>
      </w:r>
      <w:r w:rsidRPr="00180B8D">
        <w:rPr>
          <w:lang w:val="en-GB"/>
        </w:rPr>
        <w:t xml:space="preserve"> The risk weights for delta sensitivities to equity spot price risk factors shall be the same for all equity risk exposures in each bucket in Table 7 and shall be the following:</w:t>
      </w:r>
    </w:p>
    <w:p w14:paraId="6769731A" w14:textId="77777777" w:rsidR="00657236" w:rsidRPr="00180B8D" w:rsidRDefault="00D655E7">
      <w:pPr>
        <w:pStyle w:val="P68B1DB1-Normal4"/>
        <w:spacing w:after="0" w:line="240" w:lineRule="auto"/>
        <w:jc w:val="right"/>
        <w:rPr>
          <w:lang w:val="en-GB"/>
        </w:rPr>
      </w:pPr>
      <w:r w:rsidRPr="00180B8D">
        <w:rPr>
          <w:lang w:val="en-GB"/>
        </w:rPr>
        <w:t>Table 7</w:t>
      </w:r>
    </w:p>
    <w:p w14:paraId="53719319" w14:textId="77777777" w:rsidR="00657236" w:rsidRPr="00180B8D" w:rsidRDefault="00D655E7">
      <w:pPr>
        <w:pStyle w:val="P68B1DB1-Normal2"/>
        <w:spacing w:after="0" w:line="240" w:lineRule="auto"/>
        <w:jc w:val="right"/>
        <w:rPr>
          <w:lang w:val="en-GB"/>
        </w:rPr>
      </w:pPr>
      <w:r w:rsidRPr="00180B8D">
        <w:rPr>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910"/>
        <w:gridCol w:w="1514"/>
        <w:gridCol w:w="1158"/>
        <w:gridCol w:w="2969"/>
        <w:gridCol w:w="920"/>
      </w:tblGrid>
      <w:tr w:rsidR="00657236" w:rsidRPr="00180B8D" w14:paraId="2417198D"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0C1B21FD" w14:textId="77777777" w:rsidR="00C15E27" w:rsidRDefault="00C15E27">
            <w:pPr>
              <w:pStyle w:val="P68B1DB1-Normal1"/>
              <w:spacing w:after="0" w:line="240" w:lineRule="auto"/>
              <w:jc w:val="center"/>
              <w:rPr>
                <w:lang w:val="en-GB"/>
              </w:rPr>
            </w:pPr>
            <w:r w:rsidRPr="00C15E27">
              <w:rPr>
                <w:bCs/>
              </w:rPr>
              <w:t>Bucket </w:t>
            </w:r>
            <w:r w:rsidRPr="00C15E27">
              <w:rPr>
                <w:lang w:val="en-GB"/>
              </w:rPr>
              <w:t xml:space="preserve"> </w:t>
            </w:r>
          </w:p>
          <w:p w14:paraId="4724FA14" w14:textId="52D9E460" w:rsidR="00657236" w:rsidRPr="00180B8D" w:rsidRDefault="00D655E7">
            <w:pPr>
              <w:pStyle w:val="P68B1DB1-Normal1"/>
              <w:spacing w:after="0" w:line="240" w:lineRule="auto"/>
              <w:jc w:val="center"/>
              <w:rPr>
                <w:bCs/>
                <w:lang w:val="en-GB"/>
              </w:rPr>
            </w:pPr>
            <w:r w:rsidRPr="00180B8D">
              <w:rPr>
                <w:lang w:val="en-GB"/>
              </w:rPr>
              <w:t>number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09A9C7E" w14:textId="77777777" w:rsidR="00657236" w:rsidRPr="00180B8D" w:rsidRDefault="00D655E7">
            <w:pPr>
              <w:pStyle w:val="P68B1DB1-Normal1"/>
              <w:spacing w:after="0" w:line="240" w:lineRule="auto"/>
              <w:jc w:val="center"/>
              <w:rPr>
                <w:bCs/>
                <w:lang w:val="en-GB"/>
              </w:rPr>
            </w:pPr>
            <w:r w:rsidRPr="00180B8D">
              <w:rPr>
                <w:lang w:val="en-GB"/>
              </w:rPr>
              <w:t>Market capitalisation</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767275B2" w14:textId="77777777" w:rsidR="00657236" w:rsidRPr="00180B8D" w:rsidRDefault="00D655E7">
            <w:pPr>
              <w:pStyle w:val="P68B1DB1-Normal1"/>
              <w:spacing w:after="0" w:line="240" w:lineRule="auto"/>
              <w:jc w:val="center"/>
              <w:rPr>
                <w:bCs/>
                <w:lang w:val="en-GB"/>
              </w:rPr>
            </w:pPr>
            <w:r w:rsidRPr="00180B8D">
              <w:rPr>
                <w:lang w:val="en-GB"/>
              </w:rPr>
              <w:t>Economy</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01A2B79" w14:textId="77777777" w:rsidR="00657236" w:rsidRPr="00180B8D" w:rsidRDefault="00D655E7">
            <w:pPr>
              <w:pStyle w:val="P68B1DB1-Normal1"/>
              <w:spacing w:after="0" w:line="240" w:lineRule="auto"/>
              <w:jc w:val="center"/>
              <w:rPr>
                <w:bCs/>
                <w:lang w:val="en-GB"/>
              </w:rPr>
            </w:pPr>
            <w:r w:rsidRPr="00180B8D">
              <w:rPr>
                <w:lang w:val="en-GB"/>
              </w:rPr>
              <w:t>Sector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7027389" w14:textId="77777777" w:rsidR="00657236" w:rsidRPr="00180B8D" w:rsidRDefault="00D655E7">
            <w:pPr>
              <w:pStyle w:val="P68B1DB1-Normal1"/>
              <w:spacing w:after="0" w:line="240" w:lineRule="auto"/>
              <w:jc w:val="center"/>
              <w:rPr>
                <w:bCs/>
                <w:lang w:val="en-GB"/>
              </w:rPr>
            </w:pPr>
            <w:r w:rsidRPr="00180B8D">
              <w:rPr>
                <w:lang w:val="en-GB"/>
              </w:rPr>
              <w:t>Risk weight for equity spot price</w:t>
            </w:r>
          </w:p>
        </w:tc>
      </w:tr>
      <w:tr w:rsidR="00657236" w:rsidRPr="00180B8D" w14:paraId="48D5E06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3BF457" w14:textId="77777777" w:rsidR="00657236" w:rsidRPr="00180B8D" w:rsidRDefault="00D655E7">
            <w:pPr>
              <w:pStyle w:val="P68B1DB1-Normal2"/>
              <w:spacing w:after="0" w:line="240" w:lineRule="auto"/>
              <w:jc w:val="center"/>
              <w:rPr>
                <w:lang w:val="en-GB"/>
              </w:rPr>
            </w:pPr>
            <w:r w:rsidRPr="00180B8D">
              <w:rPr>
                <w:lang w:val="en-GB"/>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197757" w14:textId="4B41736E" w:rsidR="00657236" w:rsidRPr="00180B8D" w:rsidRDefault="00C15E27">
            <w:pPr>
              <w:pStyle w:val="P68B1DB1-Normal2"/>
              <w:spacing w:after="0" w:line="240" w:lineRule="auto"/>
              <w:rPr>
                <w:lang w:val="en-GB"/>
              </w:rPr>
            </w:pPr>
            <w:r w:rsidRPr="00C15E27">
              <w:t>Large</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403EDE4" w14:textId="77777777" w:rsidR="00657236" w:rsidRPr="00180B8D" w:rsidRDefault="00D655E7">
            <w:pPr>
              <w:pStyle w:val="P68B1DB1-Normal2"/>
              <w:spacing w:after="0" w:line="240" w:lineRule="auto"/>
              <w:rPr>
                <w:lang w:val="en-GB"/>
              </w:rPr>
            </w:pPr>
            <w:r w:rsidRPr="00180B8D">
              <w:rPr>
                <w:lang w:val="en-GB"/>
              </w:rPr>
              <w:t>Emerging market economy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CA20E4" w14:textId="488097AF" w:rsidR="00657236" w:rsidRPr="00180B8D" w:rsidRDefault="00D655E7">
            <w:pPr>
              <w:pStyle w:val="P68B1DB1-Normal2"/>
              <w:spacing w:after="0" w:line="240" w:lineRule="auto"/>
              <w:rPr>
                <w:lang w:val="en-GB"/>
              </w:rPr>
            </w:pPr>
            <w:r w:rsidRPr="00180B8D">
              <w:rPr>
                <w:lang w:val="en-GB"/>
              </w:rPr>
              <w:t>Consumer goods and services, transport</w:t>
            </w:r>
            <w:r w:rsidR="00C15E27">
              <w:rPr>
                <w:lang w:val="en-GB"/>
              </w:rPr>
              <w:t>ation</w:t>
            </w:r>
            <w:r w:rsidRPr="00180B8D">
              <w:rPr>
                <w:lang w:val="en-GB"/>
              </w:rPr>
              <w:t xml:space="preserve"> and storage, administrative and support </w:t>
            </w:r>
            <w:r w:rsidR="00C15E27" w:rsidRPr="00180B8D">
              <w:rPr>
                <w:lang w:val="en-GB"/>
              </w:rPr>
              <w:t xml:space="preserve">service </w:t>
            </w:r>
            <w:r w:rsidRPr="00180B8D">
              <w:rPr>
                <w:lang w:val="en-GB"/>
              </w:rPr>
              <w:t>activities, healthcare, utilities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65C953C" w14:textId="77777777" w:rsidR="00657236" w:rsidRPr="00180B8D" w:rsidRDefault="00D655E7">
            <w:pPr>
              <w:pStyle w:val="P68B1DB1-Normal2"/>
              <w:spacing w:after="0" w:line="240" w:lineRule="auto"/>
              <w:jc w:val="center"/>
              <w:rPr>
                <w:lang w:val="en-GB"/>
              </w:rPr>
            </w:pPr>
            <w:r w:rsidRPr="00180B8D">
              <w:rPr>
                <w:lang w:val="en-GB"/>
              </w:rPr>
              <w:t>55 %</w:t>
            </w:r>
          </w:p>
        </w:tc>
      </w:tr>
      <w:tr w:rsidR="00657236" w:rsidRPr="00180B8D" w14:paraId="683D4E5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00FE0A9" w14:textId="77777777" w:rsidR="00657236" w:rsidRPr="00180B8D" w:rsidRDefault="00D655E7">
            <w:pPr>
              <w:pStyle w:val="P68B1DB1-Normal2"/>
              <w:spacing w:after="0" w:line="240" w:lineRule="auto"/>
              <w:jc w:val="center"/>
              <w:rPr>
                <w:lang w:val="en-GB"/>
              </w:rPr>
            </w:pPr>
            <w:r w:rsidRPr="00180B8D">
              <w:rPr>
                <w:lang w:val="en-GB"/>
              </w:rPr>
              <w:t>2</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2A812C"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5AA3D4A"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EFE2495" w14:textId="0A2067B5" w:rsidR="00657236" w:rsidRPr="00180B8D" w:rsidRDefault="00D655E7">
            <w:pPr>
              <w:pStyle w:val="P68B1DB1-Normal2"/>
              <w:spacing w:after="0" w:line="240" w:lineRule="auto"/>
              <w:rPr>
                <w:lang w:val="en-GB"/>
              </w:rPr>
            </w:pPr>
            <w:r w:rsidRPr="00180B8D">
              <w:rPr>
                <w:lang w:val="en-GB"/>
              </w:rPr>
              <w:t>Telecommunications, industrial</w:t>
            </w:r>
            <w:r w:rsidR="00C15E27">
              <w:rPr>
                <w:lang w:val="en-GB"/>
              </w:rPr>
              <w: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6CE6D20" w14:textId="77777777" w:rsidR="00657236" w:rsidRPr="00180B8D" w:rsidRDefault="00D655E7">
            <w:pPr>
              <w:pStyle w:val="P68B1DB1-Normal2"/>
              <w:spacing w:after="0" w:line="240" w:lineRule="auto"/>
              <w:jc w:val="center"/>
              <w:rPr>
                <w:lang w:val="en-GB"/>
              </w:rPr>
            </w:pPr>
            <w:r w:rsidRPr="00180B8D">
              <w:rPr>
                <w:lang w:val="en-GB"/>
              </w:rPr>
              <w:t>60 %</w:t>
            </w:r>
          </w:p>
        </w:tc>
      </w:tr>
      <w:tr w:rsidR="00657236" w:rsidRPr="00180B8D" w14:paraId="19F7358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F39190" w14:textId="77777777" w:rsidR="00657236" w:rsidRPr="00180B8D" w:rsidRDefault="00D655E7">
            <w:pPr>
              <w:pStyle w:val="P68B1DB1-Normal2"/>
              <w:spacing w:after="0" w:line="240" w:lineRule="auto"/>
              <w:jc w:val="center"/>
              <w:rPr>
                <w:lang w:val="en-GB"/>
              </w:rPr>
            </w:pPr>
            <w:r w:rsidRPr="00180B8D">
              <w:rPr>
                <w:lang w:val="en-GB"/>
              </w:rPr>
              <w:t>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240400"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1BA40CC"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54D948" w14:textId="77777777" w:rsidR="00657236" w:rsidRPr="00180B8D" w:rsidRDefault="00D655E7">
            <w:pPr>
              <w:pStyle w:val="P68B1DB1-Normal2"/>
              <w:spacing w:after="0" w:line="240" w:lineRule="auto"/>
              <w:rPr>
                <w:lang w:val="en-GB"/>
              </w:rPr>
            </w:pPr>
            <w:r w:rsidRPr="00180B8D">
              <w:rPr>
                <w:lang w:val="en-GB"/>
              </w:rPr>
              <w:t xml:space="preserve">Basic materials, </w:t>
            </w:r>
            <w:r w:rsidRPr="00180B8D">
              <w:rPr>
                <w:lang w:val="en-GB"/>
              </w:rPr>
              <w:t>energy, agriculture, manufacturing, mining and quarrying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F206CB4"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1E3289C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CCFA2C" w14:textId="77777777" w:rsidR="00657236" w:rsidRPr="00180B8D" w:rsidRDefault="00D655E7">
            <w:pPr>
              <w:pStyle w:val="P68B1DB1-Normal2"/>
              <w:spacing w:after="0" w:line="240" w:lineRule="auto"/>
              <w:jc w:val="center"/>
              <w:rPr>
                <w:lang w:val="en-GB"/>
              </w:rPr>
            </w:pPr>
            <w:r w:rsidRPr="00180B8D">
              <w:rPr>
                <w:lang w:val="en-GB"/>
              </w:rPr>
              <w:t>4</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1A62F12"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F688B26"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AF00D5" w14:textId="7DA176B7" w:rsidR="00657236" w:rsidRPr="00180B8D" w:rsidRDefault="00D655E7">
            <w:pPr>
              <w:pStyle w:val="P68B1DB1-Normal2"/>
              <w:spacing w:after="0" w:line="240" w:lineRule="auto"/>
              <w:rPr>
                <w:lang w:val="en-GB"/>
              </w:rPr>
            </w:pPr>
            <w:r w:rsidRPr="00180B8D">
              <w:rPr>
                <w:lang w:val="en-GB"/>
              </w:rPr>
              <w:t xml:space="preserve">Financial sector entity as defined in Article 3 of Law No 202/2017 on the activity of banks, including </w:t>
            </w:r>
            <w:r w:rsidR="00580964">
              <w:rPr>
                <w:lang w:val="en-GB"/>
              </w:rPr>
              <w:t>g</w:t>
            </w:r>
            <w:r w:rsidRPr="00180B8D">
              <w:rPr>
                <w:lang w:val="en-GB"/>
              </w:rPr>
              <w:t>overnment</w:t>
            </w:r>
            <w:r w:rsidR="00580964">
              <w:rPr>
                <w:lang w:val="en-GB"/>
              </w:rPr>
              <w:t>-backed</w:t>
            </w:r>
            <w:r w:rsidR="00C15E27" w:rsidRPr="00180B8D">
              <w:rPr>
                <w:lang w:val="en-GB"/>
              </w:rPr>
              <w:t xml:space="preserve"> financial</w:t>
            </w:r>
            <w:r w:rsidR="00580964">
              <w:rPr>
                <w:lang w:val="en-GB"/>
              </w:rPr>
              <w:t>s</w:t>
            </w:r>
            <w:r w:rsidRPr="00180B8D">
              <w:rPr>
                <w:lang w:val="en-GB"/>
              </w:rPr>
              <w:t xml:space="preserve">, </w:t>
            </w:r>
            <w:r w:rsidR="00C15E27" w:rsidRPr="00C15E27">
              <w:t>immovable property activities</w:t>
            </w:r>
            <w:r w:rsidRPr="00180B8D">
              <w:rPr>
                <w:lang w:val="en-GB"/>
              </w:rPr>
              <w:t>, technology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BF9E8E" w14:textId="77777777" w:rsidR="00657236" w:rsidRPr="00180B8D" w:rsidRDefault="00D655E7">
            <w:pPr>
              <w:pStyle w:val="P68B1DB1-Normal2"/>
              <w:spacing w:after="0" w:line="240" w:lineRule="auto"/>
              <w:jc w:val="center"/>
              <w:rPr>
                <w:lang w:val="en-GB"/>
              </w:rPr>
            </w:pPr>
            <w:r w:rsidRPr="00180B8D">
              <w:rPr>
                <w:lang w:val="en-GB"/>
              </w:rPr>
              <w:t>55 %</w:t>
            </w:r>
          </w:p>
        </w:tc>
      </w:tr>
      <w:tr w:rsidR="00657236" w:rsidRPr="00180B8D" w14:paraId="4BEF16A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3DB4E43" w14:textId="77777777" w:rsidR="00657236" w:rsidRPr="00180B8D" w:rsidRDefault="00D655E7">
            <w:pPr>
              <w:pStyle w:val="P68B1DB1-Normal2"/>
              <w:spacing w:after="0" w:line="240" w:lineRule="auto"/>
              <w:jc w:val="center"/>
              <w:rPr>
                <w:lang w:val="en-GB"/>
              </w:rPr>
            </w:pPr>
            <w:r w:rsidRPr="00180B8D">
              <w:rPr>
                <w:lang w:val="en-GB"/>
              </w:rPr>
              <w:t>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562D11"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0BBF05" w14:textId="638A69E4" w:rsidR="00657236" w:rsidRPr="00180B8D" w:rsidRDefault="00D655E7">
            <w:pPr>
              <w:pStyle w:val="P68B1DB1-Normal2"/>
              <w:spacing w:after="0" w:line="240" w:lineRule="auto"/>
              <w:rPr>
                <w:lang w:val="en-GB"/>
              </w:rPr>
            </w:pPr>
            <w:r w:rsidRPr="00180B8D">
              <w:rPr>
                <w:lang w:val="en-GB"/>
              </w:rPr>
              <w:t>Advanced econom</w:t>
            </w:r>
            <w:r w:rsidR="00580964">
              <w:rPr>
                <w:lang w:val="en-GB"/>
              </w:rPr>
              <w: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ABCE20" w14:textId="577369D7" w:rsidR="00657236" w:rsidRPr="00180B8D" w:rsidRDefault="00D655E7">
            <w:pPr>
              <w:pStyle w:val="P68B1DB1-Normal2"/>
              <w:spacing w:after="0" w:line="240" w:lineRule="auto"/>
              <w:rPr>
                <w:lang w:val="en-GB"/>
              </w:rPr>
            </w:pPr>
            <w:r w:rsidRPr="00180B8D">
              <w:rPr>
                <w:lang w:val="en-GB"/>
              </w:rPr>
              <w:t>Consumer goods and services, transport</w:t>
            </w:r>
            <w:r w:rsidR="00580964">
              <w:rPr>
                <w:lang w:val="en-GB"/>
              </w:rPr>
              <w:t>ation</w:t>
            </w:r>
            <w:r w:rsidRPr="00180B8D">
              <w:rPr>
                <w:lang w:val="en-GB"/>
              </w:rPr>
              <w:t xml:space="preserve"> and storage, administrative and support </w:t>
            </w:r>
            <w:r w:rsidR="00580964" w:rsidRPr="00180B8D">
              <w:rPr>
                <w:lang w:val="en-GB"/>
              </w:rPr>
              <w:t xml:space="preserve">service </w:t>
            </w:r>
            <w:r w:rsidRPr="00180B8D">
              <w:rPr>
                <w:lang w:val="en-GB"/>
              </w:rPr>
              <w:t>activities, healthcare, utilities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B0F7B03" w14:textId="77777777" w:rsidR="00657236" w:rsidRPr="00180B8D" w:rsidRDefault="00D655E7">
            <w:pPr>
              <w:pStyle w:val="P68B1DB1-Normal2"/>
              <w:spacing w:after="0" w:line="240" w:lineRule="auto"/>
              <w:jc w:val="center"/>
              <w:rPr>
                <w:lang w:val="en-GB"/>
              </w:rPr>
            </w:pPr>
            <w:r w:rsidRPr="00180B8D">
              <w:rPr>
                <w:lang w:val="en-GB"/>
              </w:rPr>
              <w:t>30 %</w:t>
            </w:r>
          </w:p>
        </w:tc>
      </w:tr>
      <w:tr w:rsidR="00657236" w:rsidRPr="00180B8D" w14:paraId="7170F9A0"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E45DCF7" w14:textId="77777777" w:rsidR="00657236" w:rsidRPr="00180B8D" w:rsidRDefault="00D655E7">
            <w:pPr>
              <w:pStyle w:val="P68B1DB1-Normal2"/>
              <w:spacing w:after="0" w:line="240" w:lineRule="auto"/>
              <w:jc w:val="center"/>
              <w:rPr>
                <w:lang w:val="en-GB"/>
              </w:rPr>
            </w:pPr>
            <w:r w:rsidRPr="00180B8D">
              <w:rPr>
                <w:lang w:val="en-GB"/>
              </w:rPr>
              <w:t>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93ABBB5"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3FEFA2"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D914BC" w14:textId="02090840" w:rsidR="00657236" w:rsidRPr="00180B8D" w:rsidRDefault="00D655E7">
            <w:pPr>
              <w:pStyle w:val="P68B1DB1-Normal2"/>
              <w:spacing w:after="0" w:line="240" w:lineRule="auto"/>
              <w:rPr>
                <w:lang w:val="en-GB"/>
              </w:rPr>
            </w:pPr>
            <w:r w:rsidRPr="00180B8D">
              <w:rPr>
                <w:lang w:val="en-GB"/>
              </w:rPr>
              <w:t>Telecommunications, industrial</w:t>
            </w:r>
            <w:r w:rsidR="00580964">
              <w:rPr>
                <w:lang w:val="en-GB"/>
              </w:rPr>
              <w:t>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FD45F1" w14:textId="77777777" w:rsidR="00657236" w:rsidRPr="00180B8D" w:rsidRDefault="00D655E7">
            <w:pPr>
              <w:pStyle w:val="P68B1DB1-Normal2"/>
              <w:spacing w:after="0" w:line="240" w:lineRule="auto"/>
              <w:jc w:val="center"/>
              <w:rPr>
                <w:lang w:val="en-GB"/>
              </w:rPr>
            </w:pPr>
            <w:r w:rsidRPr="00180B8D">
              <w:rPr>
                <w:lang w:val="en-GB"/>
              </w:rPr>
              <w:t>35 %</w:t>
            </w:r>
          </w:p>
        </w:tc>
      </w:tr>
      <w:tr w:rsidR="00657236" w:rsidRPr="00180B8D" w14:paraId="724DF2D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256F7B" w14:textId="77777777" w:rsidR="00657236" w:rsidRPr="00180B8D" w:rsidRDefault="00D655E7">
            <w:pPr>
              <w:pStyle w:val="P68B1DB1-Normal2"/>
              <w:spacing w:after="0" w:line="240" w:lineRule="auto"/>
              <w:jc w:val="center"/>
              <w:rPr>
                <w:lang w:val="en-GB"/>
              </w:rPr>
            </w:pPr>
            <w:r w:rsidRPr="00180B8D">
              <w:rPr>
                <w:lang w:val="en-GB"/>
              </w:rPr>
              <w:t>7</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5327B01"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CA5AD7A"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FD128A" w14:textId="77777777" w:rsidR="00657236" w:rsidRPr="00180B8D" w:rsidRDefault="00D655E7">
            <w:pPr>
              <w:pStyle w:val="P68B1DB1-Normal2"/>
              <w:spacing w:after="0" w:line="240" w:lineRule="auto"/>
              <w:rPr>
                <w:lang w:val="en-GB"/>
              </w:rPr>
            </w:pPr>
            <w:r w:rsidRPr="00180B8D">
              <w:rPr>
                <w:lang w:val="en-GB"/>
              </w:rPr>
              <w:t xml:space="preserve">Basic materials, energy, agriculture, </w:t>
            </w:r>
            <w:r w:rsidRPr="00180B8D">
              <w:rPr>
                <w:lang w:val="en-GB"/>
              </w:rPr>
              <w:t>manufacturing, mining and quarrying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BCFD4B" w14:textId="77777777" w:rsidR="00657236" w:rsidRPr="00180B8D" w:rsidRDefault="00D655E7">
            <w:pPr>
              <w:pStyle w:val="P68B1DB1-Normal2"/>
              <w:spacing w:after="0" w:line="240" w:lineRule="auto"/>
              <w:jc w:val="center"/>
              <w:rPr>
                <w:lang w:val="en-GB"/>
              </w:rPr>
            </w:pPr>
            <w:r w:rsidRPr="00180B8D">
              <w:rPr>
                <w:lang w:val="en-GB"/>
              </w:rPr>
              <w:t>40 %</w:t>
            </w:r>
          </w:p>
        </w:tc>
      </w:tr>
      <w:tr w:rsidR="00657236" w:rsidRPr="00180B8D" w14:paraId="3638E66D"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369548E" w14:textId="77777777" w:rsidR="00657236" w:rsidRPr="00180B8D" w:rsidRDefault="00D655E7">
            <w:pPr>
              <w:pStyle w:val="P68B1DB1-Normal2"/>
              <w:spacing w:after="0" w:line="240" w:lineRule="auto"/>
              <w:jc w:val="center"/>
              <w:rPr>
                <w:lang w:val="en-GB"/>
              </w:rPr>
            </w:pPr>
            <w:r w:rsidRPr="00180B8D">
              <w:rPr>
                <w:lang w:val="en-GB"/>
              </w:rPr>
              <w:lastRenderedPageBreak/>
              <w:t>8</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ADDA593"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425D803"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DCBC3D" w14:textId="2F7DE4AC" w:rsidR="00657236" w:rsidRPr="00180B8D" w:rsidRDefault="00D655E7">
            <w:pPr>
              <w:pStyle w:val="P68B1DB1-Normal2"/>
              <w:spacing w:after="0" w:line="240" w:lineRule="auto"/>
              <w:rPr>
                <w:lang w:val="en-GB"/>
              </w:rPr>
            </w:pPr>
            <w:r w:rsidRPr="00180B8D">
              <w:rPr>
                <w:lang w:val="en-GB"/>
              </w:rPr>
              <w:t>Financial sector entity as defined in Article 3 of Law No 202/2017, including government-backed financial</w:t>
            </w:r>
            <w:r w:rsidR="00580964">
              <w:rPr>
                <w:lang w:val="en-GB"/>
              </w:rPr>
              <w:t>s</w:t>
            </w:r>
            <w:r w:rsidRPr="00180B8D">
              <w:rPr>
                <w:lang w:val="en-GB"/>
              </w:rPr>
              <w:t xml:space="preserve">, </w:t>
            </w:r>
            <w:r w:rsidR="00580964" w:rsidRPr="00580964">
              <w:t>immovable property</w:t>
            </w:r>
            <w:r w:rsidR="00580964" w:rsidRPr="00580964">
              <w:rPr>
                <w:lang w:val="en-GB"/>
              </w:rPr>
              <w:t xml:space="preserve"> </w:t>
            </w:r>
            <w:r w:rsidRPr="00180B8D">
              <w:rPr>
                <w:lang w:val="en-GB"/>
              </w:rPr>
              <w:t>activities, technology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2E3F23" w14:textId="77777777" w:rsidR="00657236" w:rsidRPr="00180B8D" w:rsidRDefault="00D655E7">
            <w:pPr>
              <w:pStyle w:val="P68B1DB1-Normal2"/>
              <w:spacing w:after="0" w:line="240" w:lineRule="auto"/>
              <w:jc w:val="center"/>
              <w:rPr>
                <w:lang w:val="en-GB"/>
              </w:rPr>
            </w:pPr>
            <w:r w:rsidRPr="00180B8D">
              <w:rPr>
                <w:lang w:val="en-GB"/>
              </w:rPr>
              <w:t>50 %</w:t>
            </w:r>
          </w:p>
        </w:tc>
      </w:tr>
      <w:tr w:rsidR="00657236" w:rsidRPr="00180B8D" w14:paraId="643E215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ECACBA" w14:textId="77777777" w:rsidR="00657236" w:rsidRPr="00180B8D" w:rsidRDefault="00D655E7">
            <w:pPr>
              <w:pStyle w:val="P68B1DB1-Normal2"/>
              <w:spacing w:after="0" w:line="240" w:lineRule="auto"/>
              <w:jc w:val="center"/>
              <w:rPr>
                <w:lang w:val="en-GB"/>
              </w:rPr>
            </w:pPr>
            <w:r w:rsidRPr="00180B8D">
              <w:rPr>
                <w:lang w:val="en-GB"/>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5AB4032" w14:textId="40D48E5A" w:rsidR="00657236" w:rsidRPr="00180B8D" w:rsidRDefault="00580964">
            <w:pPr>
              <w:pStyle w:val="P68B1DB1-Normal2"/>
              <w:spacing w:after="0" w:line="240" w:lineRule="auto"/>
              <w:rPr>
                <w:lang w:val="en-GB"/>
              </w:rPr>
            </w:pPr>
            <w:r w:rsidRPr="00580964">
              <w:t>Small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5CABC32" w14:textId="77777777" w:rsidR="00657236" w:rsidRPr="00180B8D" w:rsidRDefault="00D655E7">
            <w:pPr>
              <w:pStyle w:val="P68B1DB1-Normal2"/>
              <w:spacing w:after="0" w:line="240" w:lineRule="auto"/>
              <w:rPr>
                <w:lang w:val="en-GB"/>
              </w:rPr>
            </w:pPr>
            <w:r w:rsidRPr="00180B8D">
              <w:rPr>
                <w:lang w:val="en-GB"/>
              </w:rPr>
              <w:t>Emerging market economy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DA291B9" w14:textId="29DD5213" w:rsidR="00657236" w:rsidRPr="00180B8D" w:rsidRDefault="00D655E7">
            <w:pPr>
              <w:pStyle w:val="P68B1DB1-Normal2"/>
              <w:spacing w:after="0" w:line="240" w:lineRule="auto"/>
              <w:rPr>
                <w:lang w:val="en-GB"/>
              </w:rPr>
            </w:pPr>
            <w:r w:rsidRPr="00180B8D">
              <w:rPr>
                <w:lang w:val="en-GB"/>
              </w:rPr>
              <w:t xml:space="preserve">All sectors described </w:t>
            </w:r>
            <w:r w:rsidR="00580964">
              <w:rPr>
                <w:lang w:val="en-GB"/>
              </w:rPr>
              <w:t>under</w:t>
            </w:r>
            <w:r w:rsidRPr="00180B8D">
              <w:rPr>
                <w:lang w:val="en-GB"/>
              </w:rPr>
              <w:t xml:space="preserve"> buckets 1, 2, 3 and 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0BD2B98" w14:textId="77777777" w:rsidR="00657236" w:rsidRPr="00180B8D" w:rsidRDefault="00D655E7">
            <w:pPr>
              <w:pStyle w:val="P68B1DB1-Normal2"/>
              <w:spacing w:after="0" w:line="240" w:lineRule="auto"/>
              <w:jc w:val="center"/>
              <w:rPr>
                <w:lang w:val="en-GB"/>
              </w:rPr>
            </w:pPr>
            <w:r w:rsidRPr="00180B8D">
              <w:rPr>
                <w:lang w:val="en-GB"/>
              </w:rPr>
              <w:t>70 %</w:t>
            </w:r>
          </w:p>
        </w:tc>
      </w:tr>
      <w:tr w:rsidR="00657236" w:rsidRPr="00180B8D" w14:paraId="030F8E2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91C625" w14:textId="77777777" w:rsidR="00657236" w:rsidRPr="00180B8D" w:rsidRDefault="00D655E7">
            <w:pPr>
              <w:pStyle w:val="P68B1DB1-Normal2"/>
              <w:spacing w:after="0" w:line="240" w:lineRule="auto"/>
              <w:jc w:val="center"/>
              <w:rPr>
                <w:lang w:val="en-GB"/>
              </w:rPr>
            </w:pPr>
            <w:r w:rsidRPr="00180B8D">
              <w:rPr>
                <w:lang w:val="en-GB"/>
              </w:rPr>
              <w:t>10</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96B547A"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94C0C3" w14:textId="20A31812" w:rsidR="00657236" w:rsidRPr="00180B8D" w:rsidRDefault="00D655E7">
            <w:pPr>
              <w:pStyle w:val="P68B1DB1-Normal2"/>
              <w:spacing w:after="0" w:line="240" w:lineRule="auto"/>
              <w:rPr>
                <w:lang w:val="en-GB"/>
              </w:rPr>
            </w:pPr>
            <w:r w:rsidRPr="00180B8D">
              <w:rPr>
                <w:lang w:val="en-GB"/>
              </w:rPr>
              <w:t>Advanced econom</w:t>
            </w:r>
            <w:r w:rsidR="00580964">
              <w:rPr>
                <w:lang w:val="en-GB"/>
              </w:rPr>
              <w: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B3B6CE" w14:textId="747345D7" w:rsidR="00657236" w:rsidRPr="00180B8D" w:rsidRDefault="00D655E7">
            <w:pPr>
              <w:pStyle w:val="P68B1DB1-Normal2"/>
              <w:spacing w:after="0" w:line="240" w:lineRule="auto"/>
              <w:rPr>
                <w:lang w:val="en-GB"/>
              </w:rPr>
            </w:pPr>
            <w:r w:rsidRPr="00180B8D">
              <w:rPr>
                <w:lang w:val="en-GB"/>
              </w:rPr>
              <w:t xml:space="preserve">All sectors described </w:t>
            </w:r>
            <w:r w:rsidR="00580964">
              <w:rPr>
                <w:lang w:val="en-GB"/>
              </w:rPr>
              <w:t>under</w:t>
            </w:r>
            <w:r w:rsidRPr="00180B8D">
              <w:rPr>
                <w:lang w:val="en-GB"/>
              </w:rPr>
              <w:t xml:space="preserve"> buckets 5, 6, 7 and 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78DEFE" w14:textId="77777777" w:rsidR="00657236" w:rsidRPr="00180B8D" w:rsidRDefault="00D655E7">
            <w:pPr>
              <w:pStyle w:val="P68B1DB1-Normal2"/>
              <w:spacing w:after="0" w:line="240" w:lineRule="auto"/>
              <w:jc w:val="center"/>
              <w:rPr>
                <w:lang w:val="en-GB"/>
              </w:rPr>
            </w:pPr>
            <w:r w:rsidRPr="00180B8D">
              <w:rPr>
                <w:lang w:val="en-GB"/>
              </w:rPr>
              <w:t>50 %</w:t>
            </w:r>
          </w:p>
        </w:tc>
      </w:tr>
      <w:tr w:rsidR="00657236" w:rsidRPr="00180B8D" w14:paraId="0440DE1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6CDBD93" w14:textId="77777777" w:rsidR="00657236" w:rsidRPr="00180B8D" w:rsidRDefault="00D655E7">
            <w:pPr>
              <w:pStyle w:val="P68B1DB1-Normal2"/>
              <w:spacing w:after="0" w:line="240" w:lineRule="auto"/>
              <w:jc w:val="center"/>
              <w:rPr>
                <w:lang w:val="en-GB"/>
              </w:rPr>
            </w:pPr>
            <w:r w:rsidRPr="00180B8D">
              <w:rPr>
                <w:lang w:val="en-GB"/>
              </w:rPr>
              <w:t>11</w:t>
            </w:r>
          </w:p>
        </w:tc>
        <w:tc>
          <w:tcPr>
            <w:tcW w:w="0" w:type="auto"/>
            <w:gridSpan w:val="3"/>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EE5B7E" w14:textId="77777777" w:rsidR="00657236" w:rsidRPr="00180B8D" w:rsidRDefault="00D655E7">
            <w:pPr>
              <w:pStyle w:val="P68B1DB1-Normal2"/>
              <w:spacing w:after="0" w:line="240" w:lineRule="auto"/>
              <w:rPr>
                <w:lang w:val="en-GB"/>
              </w:rPr>
            </w:pPr>
            <w:proofErr w:type="gramStart"/>
            <w:r w:rsidRPr="00180B8D">
              <w:rPr>
                <w:lang w:val="en-GB"/>
              </w:rPr>
              <w:t>Other</w:t>
            </w:r>
            <w:proofErr w:type="gramEnd"/>
            <w:r w:rsidRPr="00180B8D">
              <w:rPr>
                <w:lang w:val="en-GB"/>
              </w:rPr>
              <w:t xml:space="preserve"> sector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C38A5E3" w14:textId="77777777" w:rsidR="00657236" w:rsidRPr="00180B8D" w:rsidRDefault="00D655E7">
            <w:pPr>
              <w:pStyle w:val="P68B1DB1-Normal2"/>
              <w:spacing w:after="0" w:line="240" w:lineRule="auto"/>
              <w:jc w:val="center"/>
              <w:rPr>
                <w:lang w:val="en-GB"/>
              </w:rPr>
            </w:pPr>
            <w:r w:rsidRPr="00180B8D">
              <w:rPr>
                <w:lang w:val="en-GB"/>
              </w:rPr>
              <w:t>70 %</w:t>
            </w:r>
          </w:p>
        </w:tc>
      </w:tr>
      <w:tr w:rsidR="00657236" w:rsidRPr="00180B8D" w14:paraId="32D206F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956B81" w14:textId="77777777" w:rsidR="00657236" w:rsidRPr="00180B8D" w:rsidRDefault="00D655E7">
            <w:pPr>
              <w:pStyle w:val="P68B1DB1-Normal2"/>
              <w:spacing w:after="0" w:line="240" w:lineRule="auto"/>
              <w:jc w:val="center"/>
              <w:rPr>
                <w:lang w:val="en-GB"/>
              </w:rPr>
            </w:pPr>
            <w:r w:rsidRPr="00180B8D">
              <w:rPr>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A4A0875" w14:textId="4E7E91F2" w:rsidR="00657236" w:rsidRPr="00180B8D" w:rsidRDefault="00580964">
            <w:pPr>
              <w:pStyle w:val="P68B1DB1-Normal2"/>
              <w:spacing w:after="0" w:line="240" w:lineRule="auto"/>
              <w:rPr>
                <w:lang w:val="en-GB"/>
              </w:rPr>
            </w:pPr>
            <w:r>
              <w:rPr>
                <w:lang w:val="en-GB"/>
              </w:rPr>
              <w:t>Large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334D1E" w14:textId="71C03146" w:rsidR="00657236" w:rsidRPr="00180B8D" w:rsidRDefault="00D655E7">
            <w:pPr>
              <w:pStyle w:val="P68B1DB1-Normal2"/>
              <w:spacing w:after="0" w:line="240" w:lineRule="auto"/>
              <w:rPr>
                <w:lang w:val="en-GB"/>
              </w:rPr>
            </w:pPr>
            <w:r w:rsidRPr="00180B8D">
              <w:rPr>
                <w:lang w:val="en-GB"/>
              </w:rPr>
              <w:t>Advanced econom</w:t>
            </w:r>
            <w:r w:rsidR="00580964">
              <w:rPr>
                <w:lang w:val="en-GB"/>
              </w:rPr>
              <w: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223EDA" w14:textId="77777777" w:rsidR="00657236" w:rsidRPr="00180B8D" w:rsidRDefault="00D655E7">
            <w:pPr>
              <w:pStyle w:val="P68B1DB1-Normal2"/>
              <w:spacing w:after="0" w:line="240" w:lineRule="auto"/>
              <w:rPr>
                <w:lang w:val="en-GB"/>
              </w:rPr>
            </w:pPr>
            <w:r w:rsidRPr="00180B8D">
              <w:rPr>
                <w:lang w:val="en-GB"/>
              </w:rPr>
              <w:t>Qualifying indices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D231EB" w14:textId="77777777" w:rsidR="00657236" w:rsidRPr="00180B8D" w:rsidRDefault="00D655E7">
            <w:pPr>
              <w:pStyle w:val="P68B1DB1-Normal2"/>
              <w:spacing w:after="0" w:line="240" w:lineRule="auto"/>
              <w:jc w:val="center"/>
              <w:rPr>
                <w:lang w:val="en-GB"/>
              </w:rPr>
            </w:pPr>
            <w:r w:rsidRPr="00180B8D">
              <w:rPr>
                <w:lang w:val="en-GB"/>
              </w:rPr>
              <w:t>15 %</w:t>
            </w:r>
          </w:p>
        </w:tc>
      </w:tr>
      <w:tr w:rsidR="00657236" w:rsidRPr="00180B8D" w14:paraId="2779597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E624903" w14:textId="77777777" w:rsidR="00657236" w:rsidRPr="00180B8D" w:rsidRDefault="00D655E7">
            <w:pPr>
              <w:pStyle w:val="P68B1DB1-Normal2"/>
              <w:spacing w:after="0" w:line="240" w:lineRule="auto"/>
              <w:jc w:val="center"/>
              <w:rPr>
                <w:lang w:val="en-GB"/>
              </w:rPr>
            </w:pPr>
            <w:r w:rsidRPr="00180B8D">
              <w:rPr>
                <w:lang w:val="en-GB"/>
              </w:rPr>
              <w:t>13</w:t>
            </w:r>
          </w:p>
        </w:tc>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7C7AA" w14:textId="77777777" w:rsidR="00657236" w:rsidRPr="00180B8D" w:rsidRDefault="00D655E7">
            <w:pPr>
              <w:pStyle w:val="P68B1DB1-Normal2"/>
              <w:spacing w:after="0" w:line="240" w:lineRule="auto"/>
              <w:rPr>
                <w:lang w:val="en-GB"/>
              </w:rPr>
            </w:pPr>
            <w:r w:rsidRPr="00180B8D">
              <w:rPr>
                <w:lang w:val="en-GB"/>
              </w:rPr>
              <w:t>Other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8D39AD9" w14:textId="77777777" w:rsidR="00657236" w:rsidRPr="00180B8D" w:rsidRDefault="00D655E7">
            <w:pPr>
              <w:pStyle w:val="P68B1DB1-Normal2"/>
              <w:spacing w:after="0" w:line="240" w:lineRule="auto"/>
              <w:rPr>
                <w:lang w:val="en-GB"/>
              </w:rPr>
            </w:pPr>
            <w:r w:rsidRPr="00180B8D">
              <w:rPr>
                <w:lang w:val="en-GB"/>
              </w:rPr>
              <w:t>Qualifying indices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8E86BB9" w14:textId="77777777" w:rsidR="00657236" w:rsidRPr="00180B8D" w:rsidRDefault="00D655E7">
            <w:pPr>
              <w:pStyle w:val="P68B1DB1-Normal2"/>
              <w:spacing w:after="0" w:line="240" w:lineRule="auto"/>
              <w:jc w:val="center"/>
              <w:rPr>
                <w:lang w:val="en-GB"/>
              </w:rPr>
            </w:pPr>
            <w:r w:rsidRPr="00180B8D">
              <w:rPr>
                <w:lang w:val="en-GB"/>
              </w:rPr>
              <w:t>25 %</w:t>
            </w:r>
          </w:p>
        </w:tc>
      </w:tr>
    </w:tbl>
    <w:p w14:paraId="756A3272" w14:textId="77777777" w:rsidR="00657236" w:rsidRPr="00180B8D" w:rsidRDefault="00D655E7">
      <w:pPr>
        <w:pStyle w:val="P68B1DB1-Normal2"/>
        <w:spacing w:after="0" w:line="240" w:lineRule="auto"/>
        <w:ind w:firstLine="567"/>
        <w:jc w:val="both"/>
        <w:rPr>
          <w:lang w:val="en-GB"/>
        </w:rPr>
      </w:pPr>
      <w:r w:rsidRPr="00180B8D">
        <w:rPr>
          <w:lang w:val="en-GB"/>
        </w:rPr>
        <w:t> </w:t>
      </w:r>
    </w:p>
    <w:p w14:paraId="061E4829" w14:textId="7FC9EE6A" w:rsidR="00657236" w:rsidRPr="00180B8D" w:rsidRDefault="00D655E7">
      <w:pPr>
        <w:pStyle w:val="P68B1DB1-Normal2"/>
        <w:spacing w:after="0" w:line="240" w:lineRule="auto"/>
        <w:ind w:firstLine="567"/>
        <w:jc w:val="both"/>
        <w:rPr>
          <w:lang w:val="en-GB"/>
        </w:rPr>
      </w:pPr>
      <w:r w:rsidRPr="00180B8D">
        <w:rPr>
          <w:b/>
          <w:lang w:val="en-GB"/>
        </w:rPr>
        <w:t>104.</w:t>
      </w:r>
      <w:r w:rsidRPr="00180B8D">
        <w:rPr>
          <w:lang w:val="en-GB"/>
        </w:rPr>
        <w:t xml:space="preserve"> </w:t>
      </w:r>
      <w:r w:rsidRPr="00A17BE5">
        <w:rPr>
          <w:lang w:val="en-GB"/>
        </w:rPr>
        <w:t xml:space="preserve">The regulatory technical standards set out in the </w:t>
      </w:r>
      <w:r w:rsidR="00A17BE5" w:rsidRPr="00A17BE5">
        <w:rPr>
          <w:lang w:val="en-GB"/>
        </w:rPr>
        <w:t xml:space="preserve">treatment of the </w:t>
      </w:r>
      <w:r w:rsidRPr="00A17BE5">
        <w:rPr>
          <w:lang w:val="en-GB"/>
        </w:rPr>
        <w:t xml:space="preserve">market risk regulations </w:t>
      </w:r>
      <w:r w:rsidR="00A17BE5" w:rsidRPr="00A17BE5">
        <w:t>according to the</w:t>
      </w:r>
      <w:r w:rsidR="00A17BE5">
        <w:t xml:space="preserve"> </w:t>
      </w:r>
      <w:r w:rsidRPr="00A17BE5">
        <w:rPr>
          <w:lang w:val="en-GB"/>
        </w:rPr>
        <w:t xml:space="preserve">the </w:t>
      </w:r>
      <w:r w:rsidR="00A17BE5" w:rsidRPr="00A17BE5">
        <w:rPr>
          <w:lang w:val="en-GB"/>
        </w:rPr>
        <w:t>s</w:t>
      </w:r>
      <w:r w:rsidRPr="00A17BE5">
        <w:rPr>
          <w:lang w:val="en-GB"/>
        </w:rPr>
        <w:t xml:space="preserve">tandardised </w:t>
      </w:r>
      <w:r w:rsidR="00A17BE5" w:rsidRPr="00A17BE5">
        <w:rPr>
          <w:lang w:val="en-GB"/>
        </w:rPr>
        <w:t>a</w:t>
      </w:r>
      <w:r w:rsidRPr="00A17BE5">
        <w:rPr>
          <w:lang w:val="en-GB"/>
        </w:rPr>
        <w:t>pproach</w:t>
      </w:r>
      <w:r w:rsidR="00A17BE5" w:rsidRPr="00A17BE5">
        <w:rPr>
          <w:lang w:val="en-GB"/>
        </w:rPr>
        <w:t xml:space="preserve"> shall</w:t>
      </w:r>
      <w:r w:rsidRPr="00A17BE5">
        <w:rPr>
          <w:lang w:val="en-GB"/>
        </w:rPr>
        <w:t xml:space="preserve"> specify what constitutes a </w:t>
      </w:r>
      <w:r w:rsidR="00A17BE5" w:rsidRPr="00A17BE5">
        <w:rPr>
          <w:lang w:val="en-GB"/>
        </w:rPr>
        <w:t>small</w:t>
      </w:r>
      <w:r w:rsidRPr="00A17BE5">
        <w:rPr>
          <w:lang w:val="en-GB"/>
        </w:rPr>
        <w:t xml:space="preserve"> capitalisation and what constitutes a </w:t>
      </w:r>
      <w:r w:rsidR="00A17BE5" w:rsidRPr="00A17BE5">
        <w:rPr>
          <w:lang w:val="en-GB"/>
        </w:rPr>
        <w:t>large</w:t>
      </w:r>
      <w:r w:rsidRPr="00A17BE5">
        <w:rPr>
          <w:lang w:val="en-GB"/>
        </w:rPr>
        <w:t xml:space="preserve"> capitalisation for the purposes of paragraph 103.</w:t>
      </w:r>
    </w:p>
    <w:p w14:paraId="52C31367" w14:textId="6133A032" w:rsidR="00657236" w:rsidRPr="00180B8D" w:rsidRDefault="00D655E7">
      <w:pPr>
        <w:pStyle w:val="P68B1DB1-Normal2"/>
        <w:spacing w:after="0" w:line="240" w:lineRule="auto"/>
        <w:ind w:firstLine="567"/>
        <w:jc w:val="both"/>
        <w:rPr>
          <w:lang w:val="en-GB"/>
        </w:rPr>
      </w:pPr>
      <w:r w:rsidRPr="00180B8D">
        <w:rPr>
          <w:b/>
          <w:lang w:val="en-GB"/>
        </w:rPr>
        <w:t>105.</w:t>
      </w:r>
      <w:r w:rsidRPr="00180B8D">
        <w:rPr>
          <w:lang w:val="en-GB"/>
        </w:rPr>
        <w:t xml:space="preserve"> The regulatory technical standards set out in the </w:t>
      </w:r>
      <w:r w:rsidR="00A17BE5" w:rsidRPr="00180B8D">
        <w:rPr>
          <w:lang w:val="en-GB"/>
        </w:rPr>
        <w:t>treatment</w:t>
      </w:r>
      <w:r w:rsidR="00A17BE5">
        <w:rPr>
          <w:lang w:val="en-GB"/>
        </w:rPr>
        <w:t xml:space="preserve"> of the</w:t>
      </w:r>
      <w:r w:rsidR="00A17BE5" w:rsidRPr="00180B8D">
        <w:rPr>
          <w:lang w:val="en-GB"/>
        </w:rPr>
        <w:t xml:space="preserve"> </w:t>
      </w:r>
      <w:r w:rsidRPr="00180B8D">
        <w:rPr>
          <w:lang w:val="en-GB"/>
        </w:rPr>
        <w:t xml:space="preserve">market risk regulations </w:t>
      </w:r>
      <w:r w:rsidR="00A17BE5" w:rsidRPr="00A17BE5">
        <w:t>according to the</w:t>
      </w:r>
      <w:r w:rsidR="00A17BE5">
        <w:t xml:space="preserve"> </w:t>
      </w:r>
      <w:r w:rsidRPr="00180B8D">
        <w:rPr>
          <w:lang w:val="en-GB"/>
        </w:rPr>
        <w:t xml:space="preserve">the </w:t>
      </w:r>
      <w:r w:rsidR="00A17BE5">
        <w:rPr>
          <w:lang w:val="en-GB"/>
        </w:rPr>
        <w:t>s</w:t>
      </w:r>
      <w:r w:rsidRPr="00180B8D">
        <w:rPr>
          <w:lang w:val="en-GB"/>
        </w:rPr>
        <w:t xml:space="preserve">tandardised </w:t>
      </w:r>
      <w:r w:rsidR="00A17BE5">
        <w:rPr>
          <w:lang w:val="en-GB"/>
        </w:rPr>
        <w:t>a</w:t>
      </w:r>
      <w:r w:rsidRPr="00180B8D">
        <w:rPr>
          <w:lang w:val="en-GB"/>
        </w:rPr>
        <w:t xml:space="preserve">pproach </w:t>
      </w:r>
      <w:r w:rsidR="00A17BE5">
        <w:rPr>
          <w:lang w:val="en-GB"/>
        </w:rPr>
        <w:t xml:space="preserve">shall </w:t>
      </w:r>
      <w:r w:rsidRPr="00180B8D">
        <w:rPr>
          <w:lang w:val="en-GB"/>
        </w:rPr>
        <w:t>specify what constitutes an emerging market and what constitutes an advanced economy within the meaning of paragraph 103.</w:t>
      </w:r>
    </w:p>
    <w:p w14:paraId="20CC2D56" w14:textId="169285ED" w:rsidR="00657236" w:rsidRPr="00180B8D" w:rsidRDefault="00D655E7">
      <w:pPr>
        <w:pStyle w:val="P68B1DB1-Normal2"/>
        <w:spacing w:after="0" w:line="240" w:lineRule="auto"/>
        <w:ind w:firstLine="567"/>
        <w:jc w:val="both"/>
        <w:rPr>
          <w:lang w:val="en-GB"/>
        </w:rPr>
      </w:pPr>
      <w:r w:rsidRPr="00180B8D">
        <w:rPr>
          <w:b/>
          <w:lang w:val="en-GB"/>
        </w:rPr>
        <w:t>106.</w:t>
      </w:r>
      <w:r w:rsidRPr="00180B8D">
        <w:rPr>
          <w:lang w:val="en-GB"/>
        </w:rPr>
        <w:t xml:space="preserve"> When assigning a risk exposure to a sector, banks</w:t>
      </w:r>
      <w:r w:rsidR="00A17BE5">
        <w:rPr>
          <w:lang w:val="en-GB"/>
        </w:rPr>
        <w:t xml:space="preserve"> shall</w:t>
      </w:r>
      <w:r w:rsidRPr="00180B8D">
        <w:rPr>
          <w:lang w:val="en-GB"/>
        </w:rPr>
        <w:t xml:space="preserve"> rely on a classification that is commonly used in the market </w:t>
      </w:r>
      <w:r w:rsidR="00A17BE5" w:rsidRPr="00A17BE5">
        <w:t>for grouping</w:t>
      </w:r>
      <w:r w:rsidR="00A17BE5">
        <w:t xml:space="preserve"> </w:t>
      </w:r>
      <w:r w:rsidRPr="00180B8D">
        <w:rPr>
          <w:lang w:val="en-GB"/>
        </w:rPr>
        <w:t xml:space="preserve">issuers by </w:t>
      </w:r>
      <w:r w:rsidR="00A17BE5" w:rsidRPr="00A17BE5">
        <w:t>industry </w:t>
      </w:r>
      <w:r w:rsidRPr="00180B8D">
        <w:rPr>
          <w:lang w:val="en-GB"/>
        </w:rPr>
        <w:t xml:space="preserve">sector. Banks shall assign each issuer to one of the sector buckets in paragraph 103, Table 7, and shall assign all issuers </w:t>
      </w:r>
      <w:r w:rsidR="00656AEB" w:rsidRPr="00656AEB">
        <w:t>from the same industry to the same sector</w:t>
      </w:r>
      <w:r w:rsidRPr="00180B8D">
        <w:rPr>
          <w:lang w:val="en-GB"/>
        </w:rPr>
        <w:t xml:space="preserve">. Risk exposures from any issuer that the bank cannot assign to a </w:t>
      </w:r>
      <w:r w:rsidRPr="00A75559">
        <w:rPr>
          <w:lang w:val="en-GB"/>
        </w:rPr>
        <w:t xml:space="preserve">sector in </w:t>
      </w:r>
      <w:r w:rsidR="00656AEB" w:rsidRPr="00A75559">
        <w:rPr>
          <w:lang w:val="en-GB"/>
        </w:rPr>
        <w:t xml:space="preserve">that manner </w:t>
      </w:r>
      <w:r w:rsidRPr="00A75559">
        <w:rPr>
          <w:lang w:val="en-GB"/>
        </w:rPr>
        <w:t xml:space="preserve">shall be assigned to bucket 11. Multinational or multi-sector equity issuers </w:t>
      </w:r>
      <w:r w:rsidR="00656AEB" w:rsidRPr="00A75559">
        <w:rPr>
          <w:lang w:val="en-GB"/>
        </w:rPr>
        <w:t xml:space="preserve">shall </w:t>
      </w:r>
      <w:r w:rsidR="00656AEB" w:rsidRPr="00A75559">
        <w:t xml:space="preserve">be allocated </w:t>
      </w:r>
      <w:r w:rsidRPr="00A75559">
        <w:rPr>
          <w:lang w:val="en-GB"/>
        </w:rPr>
        <w:t xml:space="preserve">to a </w:t>
      </w:r>
      <w:r w:rsidR="00656AEB" w:rsidRPr="00A75559">
        <w:rPr>
          <w:lang w:val="en-GB"/>
        </w:rPr>
        <w:t>particular</w:t>
      </w:r>
      <w:r w:rsidRPr="00A75559">
        <w:rPr>
          <w:lang w:val="en-GB"/>
        </w:rPr>
        <w:t xml:space="preserve"> bucket </w:t>
      </w:r>
      <w:proofErr w:type="gramStart"/>
      <w:r w:rsidR="00656AEB" w:rsidRPr="00A75559">
        <w:t>on the basis of</w:t>
      </w:r>
      <w:proofErr w:type="gramEnd"/>
      <w:r w:rsidR="00656AEB" w:rsidRPr="00A75559">
        <w:t xml:space="preserve"> </w:t>
      </w:r>
      <w:r w:rsidRPr="00A75559">
        <w:rPr>
          <w:lang w:val="en-GB"/>
        </w:rPr>
        <w:t xml:space="preserve">the most </w:t>
      </w:r>
      <w:r w:rsidR="00656AEB" w:rsidRPr="00A75559">
        <w:t>material </w:t>
      </w:r>
      <w:r w:rsidRPr="00A75559">
        <w:rPr>
          <w:lang w:val="en-GB"/>
        </w:rPr>
        <w:t xml:space="preserve">region </w:t>
      </w:r>
      <w:r w:rsidR="00656AEB" w:rsidRPr="00A75559">
        <w:rPr>
          <w:lang w:val="en-GB"/>
        </w:rPr>
        <w:t>and</w:t>
      </w:r>
      <w:r w:rsidRPr="00A75559">
        <w:rPr>
          <w:lang w:val="en-GB"/>
        </w:rPr>
        <w:t xml:space="preserve"> sector in which the equity issuer operates.</w:t>
      </w:r>
    </w:p>
    <w:p w14:paraId="53F40AB1" w14:textId="40E45964" w:rsidR="00657236" w:rsidRPr="00180B8D" w:rsidRDefault="00D655E7">
      <w:pPr>
        <w:pStyle w:val="P68B1DB1-Normal2"/>
        <w:spacing w:after="0" w:line="240" w:lineRule="auto"/>
        <w:ind w:firstLine="567"/>
        <w:jc w:val="both"/>
        <w:rPr>
          <w:lang w:val="en-GB"/>
        </w:rPr>
      </w:pPr>
      <w:r w:rsidRPr="00180B8D">
        <w:rPr>
          <w:b/>
          <w:lang w:val="en-GB"/>
        </w:rPr>
        <w:t>107.</w:t>
      </w:r>
      <w:r w:rsidRPr="00180B8D">
        <w:rPr>
          <w:lang w:val="en-GB"/>
        </w:rPr>
        <w:t xml:space="preserve"> The risk weights for equity </w:t>
      </w:r>
      <w:proofErr w:type="spellStart"/>
      <w:r w:rsidR="00115A3C" w:rsidRPr="00180B8D">
        <w:rPr>
          <w:lang w:val="en-GB"/>
        </w:rPr>
        <w:t>vega</w:t>
      </w:r>
      <w:proofErr w:type="spellEnd"/>
      <w:r w:rsidR="00115A3C" w:rsidRPr="00180B8D">
        <w:rPr>
          <w:lang w:val="en-GB"/>
        </w:rPr>
        <w:t xml:space="preserve"> </w:t>
      </w:r>
      <w:r w:rsidRPr="00180B8D">
        <w:rPr>
          <w:lang w:val="en-GB"/>
        </w:rPr>
        <w:t xml:space="preserve">risk shall be set at 78 % for buckets 1 to 8 and bucket 12 and at 100 % for all other </w:t>
      </w:r>
      <w:r w:rsidRPr="00180B8D">
        <w:rPr>
          <w:lang w:val="en-GB"/>
        </w:rPr>
        <w:t>buckets.</w:t>
      </w:r>
    </w:p>
    <w:p w14:paraId="544B08F5" w14:textId="1661BB3D" w:rsidR="00657236" w:rsidRPr="00180B8D" w:rsidRDefault="00D655E7">
      <w:pPr>
        <w:pStyle w:val="P68B1DB1-Normal2"/>
        <w:spacing w:after="0" w:line="240" w:lineRule="auto"/>
        <w:ind w:firstLine="567"/>
        <w:jc w:val="both"/>
        <w:rPr>
          <w:lang w:val="en-GB"/>
        </w:rPr>
      </w:pPr>
      <w:r w:rsidRPr="00180B8D">
        <w:rPr>
          <w:b/>
          <w:lang w:val="en-GB"/>
        </w:rPr>
        <w:t>108.</w:t>
      </w:r>
      <w:r w:rsidRPr="00180B8D">
        <w:rPr>
          <w:lang w:val="en-GB"/>
        </w:rPr>
        <w:t xml:space="preserve"> The </w:t>
      </w:r>
      <w:r w:rsidR="00115A3C" w:rsidRPr="00115A3C">
        <w:t>cross-bucket</w:t>
      </w:r>
      <w:r w:rsidR="00115A3C">
        <w:t xml:space="preserve"> </w:t>
      </w:r>
      <w:r w:rsidRPr="00180B8D">
        <w:rPr>
          <w:lang w:val="en-GB"/>
        </w:rPr>
        <w:t xml:space="preserve">correlation parameter for </w:t>
      </w:r>
      <w:r w:rsidR="00115A3C" w:rsidRPr="00180B8D">
        <w:rPr>
          <w:lang w:val="en-GB"/>
        </w:rPr>
        <w:t xml:space="preserve">equity </w:t>
      </w:r>
      <w:r w:rsidRPr="00180B8D">
        <w:rPr>
          <w:lang w:val="en-GB"/>
        </w:rPr>
        <w:t xml:space="preserve">delta and </w:t>
      </w:r>
      <w:proofErr w:type="spellStart"/>
      <w:r w:rsidRPr="00180B8D">
        <w:rPr>
          <w:lang w:val="en-GB"/>
        </w:rPr>
        <w:t>vega</w:t>
      </w:r>
      <w:proofErr w:type="spellEnd"/>
      <w:r w:rsidRPr="00180B8D">
        <w:rPr>
          <w:lang w:val="en-GB"/>
        </w:rPr>
        <w:t xml:space="preserve"> risk </w:t>
      </w:r>
      <w:r w:rsidR="00115A3C">
        <w:rPr>
          <w:lang w:val="en-GB"/>
        </w:rPr>
        <w:t>shall be</w:t>
      </w:r>
      <w:r w:rsidRPr="00180B8D">
        <w:rPr>
          <w:lang w:val="en-GB"/>
        </w:rPr>
        <w:t xml:space="preserve"> set at:</w:t>
      </w:r>
    </w:p>
    <w:p w14:paraId="5DA384FB" w14:textId="47D684FA" w:rsidR="00657236" w:rsidRPr="00180B8D" w:rsidRDefault="00D655E7">
      <w:pPr>
        <w:pStyle w:val="P68B1DB1-Normal2"/>
        <w:spacing w:after="0" w:line="240" w:lineRule="auto"/>
        <w:ind w:firstLine="567"/>
        <w:jc w:val="both"/>
        <w:rPr>
          <w:lang w:val="en-GB"/>
        </w:rPr>
      </w:pPr>
      <w:r w:rsidRPr="00180B8D">
        <w:rPr>
          <w:lang w:val="en-GB"/>
        </w:rPr>
        <w:t xml:space="preserve">108.1. 15 % </w:t>
      </w:r>
      <w:r w:rsidR="00115A3C" w:rsidRPr="00115A3C">
        <w:t>where </w:t>
      </w:r>
      <w:r w:rsidRPr="00180B8D">
        <w:rPr>
          <w:lang w:val="en-GB"/>
        </w:rPr>
        <w:t xml:space="preserve">the two buckets fall within buckets 1 to 10 of </w:t>
      </w:r>
      <w:r w:rsidR="008258BF">
        <w:rPr>
          <w:lang w:val="en-GB"/>
        </w:rPr>
        <w:t>paragraph</w:t>
      </w:r>
      <w:r w:rsidRPr="00180B8D">
        <w:rPr>
          <w:lang w:val="en-GB"/>
        </w:rPr>
        <w:t xml:space="preserve"> 103, Table </w:t>
      </w:r>
      <w:proofErr w:type="gramStart"/>
      <w:r w:rsidRPr="00180B8D">
        <w:rPr>
          <w:lang w:val="en-GB"/>
        </w:rPr>
        <w:t>7;</w:t>
      </w:r>
      <w:proofErr w:type="gramEnd"/>
    </w:p>
    <w:p w14:paraId="65317330" w14:textId="0B489B8C" w:rsidR="00657236" w:rsidRPr="00180B8D" w:rsidRDefault="00D655E7">
      <w:pPr>
        <w:pStyle w:val="P68B1DB1-Normal2"/>
        <w:spacing w:after="0" w:line="240" w:lineRule="auto"/>
        <w:ind w:firstLine="567"/>
        <w:jc w:val="both"/>
        <w:rPr>
          <w:lang w:val="en-GB"/>
        </w:rPr>
      </w:pPr>
      <w:r w:rsidRPr="00180B8D">
        <w:rPr>
          <w:lang w:val="en-GB"/>
        </w:rPr>
        <w:t xml:space="preserve">108.2. 75 % </w:t>
      </w:r>
      <w:r w:rsidR="00115A3C" w:rsidRPr="00115A3C">
        <w:t>where </w:t>
      </w:r>
      <w:r w:rsidRPr="00180B8D">
        <w:rPr>
          <w:lang w:val="en-GB"/>
        </w:rPr>
        <w:t xml:space="preserve">the two buckets are buckets 12 and 13 in paragraph 103, Table </w:t>
      </w:r>
      <w:proofErr w:type="gramStart"/>
      <w:r w:rsidRPr="00180B8D">
        <w:rPr>
          <w:lang w:val="en-GB"/>
        </w:rPr>
        <w:t>7;</w:t>
      </w:r>
      <w:proofErr w:type="gramEnd"/>
    </w:p>
    <w:p w14:paraId="351CE8C2" w14:textId="17121461" w:rsidR="00657236" w:rsidRPr="00180B8D" w:rsidRDefault="00D655E7">
      <w:pPr>
        <w:pStyle w:val="P68B1DB1-Normal2"/>
        <w:spacing w:after="0" w:line="240" w:lineRule="auto"/>
        <w:ind w:firstLine="567"/>
        <w:jc w:val="both"/>
        <w:rPr>
          <w:lang w:val="en-GB"/>
        </w:rPr>
      </w:pPr>
      <w:r w:rsidRPr="00180B8D">
        <w:rPr>
          <w:lang w:val="en-GB"/>
        </w:rPr>
        <w:t xml:space="preserve">108.3. 45 % </w:t>
      </w:r>
      <w:r w:rsidR="00115A3C" w:rsidRPr="00115A3C">
        <w:t>where </w:t>
      </w:r>
      <w:r w:rsidRPr="00180B8D">
        <w:rPr>
          <w:lang w:val="en-GB"/>
        </w:rPr>
        <w:t xml:space="preserve">one of the buckets is bucket 12 or 13 in </w:t>
      </w:r>
      <w:r w:rsidR="008258BF">
        <w:rPr>
          <w:lang w:val="en-GB"/>
        </w:rPr>
        <w:t>paragraph</w:t>
      </w:r>
      <w:r w:rsidRPr="00180B8D">
        <w:rPr>
          <w:lang w:val="en-GB"/>
        </w:rPr>
        <w:t xml:space="preserve"> 103, Table 7, and the other bucket falls within buckets 1 to 10 in </w:t>
      </w:r>
      <w:r w:rsidR="008258BF">
        <w:rPr>
          <w:lang w:val="en-GB"/>
        </w:rPr>
        <w:t>paragraph</w:t>
      </w:r>
      <w:r w:rsidRPr="00180B8D">
        <w:rPr>
          <w:lang w:val="en-GB"/>
        </w:rPr>
        <w:t xml:space="preserve"> 103, Table </w:t>
      </w:r>
      <w:proofErr w:type="gramStart"/>
      <w:r w:rsidRPr="00180B8D">
        <w:rPr>
          <w:lang w:val="en-GB"/>
        </w:rPr>
        <w:t>7;</w:t>
      </w:r>
      <w:proofErr w:type="gramEnd"/>
      <w:r w:rsidR="00115A3C">
        <w:rPr>
          <w:lang w:val="en-GB"/>
        </w:rPr>
        <w:t xml:space="preserve"> </w:t>
      </w:r>
    </w:p>
    <w:p w14:paraId="311A18AB" w14:textId="77777777" w:rsidR="00657236" w:rsidRPr="00180B8D" w:rsidRDefault="00D655E7">
      <w:pPr>
        <w:pStyle w:val="P68B1DB1-Normal2"/>
        <w:spacing w:after="0" w:line="240" w:lineRule="auto"/>
        <w:ind w:firstLine="567"/>
        <w:jc w:val="both"/>
        <w:rPr>
          <w:lang w:val="en-GB"/>
        </w:rPr>
      </w:pPr>
      <w:r w:rsidRPr="00180B8D">
        <w:rPr>
          <w:lang w:val="en-GB"/>
        </w:rPr>
        <w:t>108.4. 0 % if one of the two buckets is bucket 11 in paragraph 103, Table 7.</w:t>
      </w:r>
    </w:p>
    <w:p w14:paraId="513128D1" w14:textId="77777777" w:rsidR="00657236" w:rsidRPr="00180B8D" w:rsidRDefault="00D655E7">
      <w:pPr>
        <w:pStyle w:val="P68B1DB1-Normal2"/>
        <w:spacing w:after="0" w:line="240" w:lineRule="auto"/>
        <w:jc w:val="center"/>
        <w:rPr>
          <w:lang w:val="en-GB"/>
        </w:rPr>
      </w:pPr>
      <w:r w:rsidRPr="00180B8D">
        <w:rPr>
          <w:lang w:val="en-GB"/>
        </w:rPr>
        <w:t> </w:t>
      </w:r>
    </w:p>
    <w:p w14:paraId="65F7CBD1" w14:textId="77777777" w:rsidR="00657236" w:rsidRPr="00180B8D" w:rsidRDefault="00D655E7">
      <w:pPr>
        <w:pStyle w:val="P68B1DB1-Normal3"/>
        <w:spacing w:after="0" w:line="240" w:lineRule="auto"/>
        <w:jc w:val="center"/>
        <w:rPr>
          <w:lang w:val="en-GB"/>
        </w:rPr>
      </w:pPr>
      <w:r w:rsidRPr="00180B8D">
        <w:rPr>
          <w:lang w:val="en-GB"/>
        </w:rPr>
        <w:t>Section 21</w:t>
      </w:r>
    </w:p>
    <w:p w14:paraId="6E52EE5C" w14:textId="20ED8C66" w:rsidR="00657236" w:rsidRPr="00180B8D" w:rsidRDefault="00115A3C">
      <w:pPr>
        <w:pStyle w:val="P68B1DB1-Normal3"/>
        <w:spacing w:after="0" w:line="240" w:lineRule="auto"/>
        <w:jc w:val="center"/>
        <w:rPr>
          <w:lang w:val="en-GB"/>
        </w:rPr>
      </w:pPr>
      <w:r w:rsidRPr="00115A3C">
        <w:rPr>
          <w:bCs/>
        </w:rPr>
        <w:t>Risk weight buckets for commodity risk</w:t>
      </w:r>
    </w:p>
    <w:p w14:paraId="7E8F2CAA" w14:textId="7BF1E7FB" w:rsidR="00657236" w:rsidRPr="00180B8D" w:rsidRDefault="00D655E7">
      <w:pPr>
        <w:pStyle w:val="P68B1DB1-Normal2"/>
        <w:spacing w:after="0" w:line="240" w:lineRule="auto"/>
        <w:ind w:firstLine="567"/>
        <w:jc w:val="both"/>
        <w:rPr>
          <w:lang w:val="en-GB"/>
        </w:rPr>
      </w:pPr>
      <w:r w:rsidRPr="00180B8D">
        <w:rPr>
          <w:b/>
          <w:lang w:val="en-GB"/>
        </w:rPr>
        <w:t>109.</w:t>
      </w:r>
      <w:r w:rsidRPr="00180B8D">
        <w:rPr>
          <w:lang w:val="en-GB"/>
        </w:rPr>
        <w:t xml:space="preserve"> The risk weights for </w:t>
      </w:r>
      <w:r w:rsidR="00115A3C">
        <w:rPr>
          <w:lang w:val="en-GB"/>
        </w:rPr>
        <w:t xml:space="preserve">the </w:t>
      </w:r>
      <w:r w:rsidRPr="00180B8D">
        <w:rPr>
          <w:lang w:val="en-GB"/>
        </w:rPr>
        <w:t xml:space="preserve">delta sensitivities to commodity spot price risk factors shall be the same for all commodity risk exposures </w:t>
      </w:r>
      <w:r w:rsidR="00115A3C" w:rsidRPr="00115A3C">
        <w:t>within </w:t>
      </w:r>
      <w:r w:rsidRPr="00180B8D">
        <w:rPr>
          <w:lang w:val="en-GB"/>
        </w:rPr>
        <w:t>each bucket in Table 8 and shall be the following:</w:t>
      </w:r>
    </w:p>
    <w:p w14:paraId="55B16FAA" w14:textId="77777777" w:rsidR="00657236" w:rsidRPr="00180B8D" w:rsidRDefault="00D655E7">
      <w:pPr>
        <w:pStyle w:val="P68B1DB1-Normal2"/>
        <w:spacing w:after="0" w:line="240" w:lineRule="auto"/>
        <w:ind w:firstLine="567"/>
        <w:jc w:val="both"/>
        <w:rPr>
          <w:lang w:val="en-GB"/>
        </w:rPr>
      </w:pPr>
      <w:r w:rsidRPr="00180B8D">
        <w:rPr>
          <w:lang w:val="en-GB"/>
        </w:rPr>
        <w:t> </w:t>
      </w:r>
    </w:p>
    <w:p w14:paraId="1315BAFB" w14:textId="77777777" w:rsidR="00657236" w:rsidRPr="00180B8D" w:rsidRDefault="00D655E7">
      <w:pPr>
        <w:pStyle w:val="P68B1DB1-Normal4"/>
        <w:spacing w:after="0" w:line="240" w:lineRule="auto"/>
        <w:jc w:val="right"/>
        <w:rPr>
          <w:lang w:val="en-GB"/>
        </w:rPr>
      </w:pPr>
      <w:r w:rsidRPr="00180B8D">
        <w:rPr>
          <w:lang w:val="en-GB"/>
        </w:rPr>
        <w:t>Table 8</w:t>
      </w:r>
    </w:p>
    <w:p w14:paraId="43B2EA14" w14:textId="77777777" w:rsidR="00657236" w:rsidRPr="00180B8D" w:rsidRDefault="00D655E7">
      <w:pPr>
        <w:pStyle w:val="P68B1DB1-Normal2"/>
        <w:spacing w:after="0" w:line="240" w:lineRule="auto"/>
        <w:jc w:val="right"/>
        <w:rPr>
          <w:lang w:val="en-GB"/>
        </w:rPr>
      </w:pPr>
      <w:r w:rsidRPr="00180B8D">
        <w:rPr>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579"/>
        <w:gridCol w:w="3653"/>
        <w:gridCol w:w="2239"/>
      </w:tblGrid>
      <w:tr w:rsidR="00657236" w:rsidRPr="00180B8D" w14:paraId="5FD5C759"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1CAD243" w14:textId="58D3C4C2" w:rsidR="00657236" w:rsidRPr="00180B8D" w:rsidRDefault="00115A3C">
            <w:pPr>
              <w:pStyle w:val="P68B1DB1-Normal1"/>
              <w:spacing w:after="0" w:line="240" w:lineRule="auto"/>
              <w:jc w:val="center"/>
              <w:rPr>
                <w:lang w:val="en-GB"/>
              </w:rPr>
            </w:pPr>
            <w:r w:rsidRPr="00115A3C">
              <w:rPr>
                <w:lang w:val="en-GB"/>
              </w:rPr>
              <w:t xml:space="preserve">Bucket </w:t>
            </w:r>
            <w:r w:rsidRPr="00180B8D">
              <w:rPr>
                <w:lang w:val="en-GB"/>
              </w:rPr>
              <w:t>number</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CF13BBE" w14:textId="43A1D92D" w:rsidR="00657236" w:rsidRPr="00180B8D" w:rsidRDefault="00115A3C">
            <w:pPr>
              <w:pStyle w:val="P68B1DB1-Normal1"/>
              <w:spacing w:after="0" w:line="240" w:lineRule="auto"/>
              <w:jc w:val="center"/>
              <w:rPr>
                <w:lang w:val="en-GB"/>
              </w:rPr>
            </w:pPr>
            <w:r w:rsidRPr="00115A3C">
              <w:rPr>
                <w:bCs/>
              </w:rPr>
              <w:t>Bucket </w:t>
            </w:r>
            <w:r w:rsidRPr="00180B8D">
              <w:rPr>
                <w:lang w:val="en-GB"/>
              </w:rPr>
              <w:t>name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D8DB4F9" w14:textId="77777777" w:rsidR="00657236" w:rsidRPr="00180B8D" w:rsidRDefault="00D655E7">
            <w:pPr>
              <w:pStyle w:val="P68B1DB1-Normal2"/>
              <w:spacing w:after="0" w:line="240" w:lineRule="auto"/>
              <w:jc w:val="center"/>
              <w:rPr>
                <w:lang w:val="en-GB"/>
              </w:rPr>
            </w:pPr>
            <w:r w:rsidRPr="00180B8D">
              <w:rPr>
                <w:b/>
                <w:lang w:val="en-GB"/>
              </w:rPr>
              <w:t>Risk weight for</w:t>
            </w:r>
            <w:r w:rsidRPr="00180B8D">
              <w:rPr>
                <w:lang w:val="en-GB"/>
              </w:rPr>
              <w:t xml:space="preserve"> </w:t>
            </w:r>
          </w:p>
          <w:p w14:paraId="7064A333" w14:textId="1D78544B" w:rsidR="00657236" w:rsidRPr="00180B8D" w:rsidRDefault="00D655E7">
            <w:pPr>
              <w:pStyle w:val="P68B1DB1-Normal1"/>
              <w:spacing w:after="0" w:line="240" w:lineRule="auto"/>
              <w:jc w:val="center"/>
              <w:rPr>
                <w:lang w:val="en-GB"/>
              </w:rPr>
            </w:pPr>
            <w:r w:rsidRPr="00180B8D">
              <w:rPr>
                <w:lang w:val="en-GB"/>
              </w:rPr>
              <w:t xml:space="preserve">commodity </w:t>
            </w:r>
            <w:r w:rsidR="00115A3C" w:rsidRPr="00180B8D">
              <w:rPr>
                <w:lang w:val="en-GB"/>
              </w:rPr>
              <w:t xml:space="preserve">spot </w:t>
            </w:r>
            <w:r w:rsidRPr="00180B8D">
              <w:rPr>
                <w:lang w:val="en-GB"/>
              </w:rPr>
              <w:t>prices</w:t>
            </w:r>
          </w:p>
        </w:tc>
      </w:tr>
      <w:tr w:rsidR="00657236" w:rsidRPr="00180B8D" w14:paraId="3E9C6B3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74D89DC" w14:textId="77777777" w:rsidR="00657236" w:rsidRPr="00180B8D" w:rsidRDefault="00D655E7">
            <w:pPr>
              <w:pStyle w:val="P68B1DB1-Normal2"/>
              <w:spacing w:after="0" w:line="240" w:lineRule="auto"/>
              <w:jc w:val="center"/>
              <w:rPr>
                <w:lang w:val="en-GB"/>
              </w:rPr>
            </w:pPr>
            <w:r w:rsidRPr="00180B8D">
              <w:rPr>
                <w:lang w:val="en-GB"/>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4AE7F4E" w14:textId="44F984EC" w:rsidR="00657236" w:rsidRPr="00180B8D" w:rsidRDefault="00D655E7">
            <w:pPr>
              <w:pStyle w:val="P68B1DB1-Normal2"/>
              <w:spacing w:after="0" w:line="240" w:lineRule="auto"/>
              <w:rPr>
                <w:lang w:val="en-GB"/>
              </w:rPr>
            </w:pPr>
            <w:r w:rsidRPr="00180B8D">
              <w:rPr>
                <w:lang w:val="en-GB"/>
              </w:rPr>
              <w:t xml:space="preserve">Energy – solid </w:t>
            </w:r>
            <w:r w:rsidR="00115A3C" w:rsidRPr="00115A3C">
              <w:t>combustibles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56D0FE" w14:textId="77777777" w:rsidR="00657236" w:rsidRPr="00180B8D" w:rsidRDefault="00D655E7">
            <w:pPr>
              <w:pStyle w:val="P68B1DB1-Normal2"/>
              <w:spacing w:after="0" w:line="240" w:lineRule="auto"/>
              <w:jc w:val="center"/>
              <w:rPr>
                <w:lang w:val="en-GB"/>
              </w:rPr>
            </w:pPr>
            <w:r w:rsidRPr="00180B8D">
              <w:rPr>
                <w:lang w:val="en-GB"/>
              </w:rPr>
              <w:t>30 %</w:t>
            </w:r>
          </w:p>
        </w:tc>
      </w:tr>
      <w:tr w:rsidR="00657236" w:rsidRPr="00180B8D" w14:paraId="164E410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1C975F2" w14:textId="77777777" w:rsidR="00657236" w:rsidRPr="00180B8D" w:rsidRDefault="00D655E7">
            <w:pPr>
              <w:pStyle w:val="P68B1DB1-Normal2"/>
              <w:spacing w:after="0" w:line="240" w:lineRule="auto"/>
              <w:jc w:val="center"/>
              <w:rPr>
                <w:lang w:val="en-GB"/>
              </w:rPr>
            </w:pPr>
            <w:r w:rsidRPr="00180B8D">
              <w:rPr>
                <w:lang w:val="en-GB"/>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BE8666" w14:textId="6DF0A8DA" w:rsidR="00657236" w:rsidRPr="00180B8D" w:rsidRDefault="00D655E7">
            <w:pPr>
              <w:pStyle w:val="P68B1DB1-Normal2"/>
              <w:spacing w:after="0" w:line="240" w:lineRule="auto"/>
              <w:rPr>
                <w:lang w:val="en-GB"/>
              </w:rPr>
            </w:pPr>
            <w:r w:rsidRPr="00180B8D">
              <w:rPr>
                <w:lang w:val="en-GB"/>
              </w:rPr>
              <w:t xml:space="preserve">Energy – liquid </w:t>
            </w:r>
            <w:r w:rsidR="00115A3C" w:rsidRPr="00115A3C">
              <w:t>combustibles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036EDD1" w14:textId="77777777" w:rsidR="00657236" w:rsidRPr="00180B8D" w:rsidRDefault="00D655E7">
            <w:pPr>
              <w:pStyle w:val="P68B1DB1-Normal2"/>
              <w:spacing w:after="0" w:line="240" w:lineRule="auto"/>
              <w:jc w:val="center"/>
              <w:rPr>
                <w:lang w:val="en-GB"/>
              </w:rPr>
            </w:pPr>
            <w:r w:rsidRPr="00180B8D">
              <w:rPr>
                <w:lang w:val="en-GB"/>
              </w:rPr>
              <w:t>35 %</w:t>
            </w:r>
          </w:p>
        </w:tc>
      </w:tr>
      <w:tr w:rsidR="00657236" w:rsidRPr="00180B8D" w14:paraId="62FB3E4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212B57" w14:textId="77777777" w:rsidR="00657236" w:rsidRPr="00180B8D" w:rsidRDefault="00D655E7">
            <w:pPr>
              <w:pStyle w:val="P68B1DB1-Normal2"/>
              <w:spacing w:after="0" w:line="240" w:lineRule="auto"/>
              <w:jc w:val="center"/>
              <w:rPr>
                <w:lang w:val="en-GB"/>
              </w:rPr>
            </w:pPr>
            <w:r w:rsidRPr="00180B8D">
              <w:rPr>
                <w:lang w:val="en-GB"/>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88903B" w14:textId="77777777" w:rsidR="00657236" w:rsidRPr="00180B8D" w:rsidRDefault="00D655E7">
            <w:pPr>
              <w:pStyle w:val="P68B1DB1-Normal2"/>
              <w:spacing w:after="0" w:line="240" w:lineRule="auto"/>
              <w:rPr>
                <w:lang w:val="en-GB"/>
              </w:rPr>
            </w:pPr>
            <w:r w:rsidRPr="00180B8D">
              <w:rPr>
                <w:lang w:val="en-GB"/>
              </w:rPr>
              <w:t>Energy – electricity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412094B" w14:textId="77777777" w:rsidR="00657236" w:rsidRPr="00180B8D" w:rsidRDefault="00D655E7">
            <w:pPr>
              <w:pStyle w:val="P68B1DB1-Normal2"/>
              <w:spacing w:after="0" w:line="240" w:lineRule="auto"/>
              <w:jc w:val="center"/>
              <w:rPr>
                <w:lang w:val="en-GB"/>
              </w:rPr>
            </w:pPr>
            <w:r w:rsidRPr="00180B8D">
              <w:rPr>
                <w:lang w:val="en-GB"/>
              </w:rPr>
              <w:t>60 %</w:t>
            </w:r>
          </w:p>
        </w:tc>
      </w:tr>
      <w:tr w:rsidR="00657236" w:rsidRPr="00180B8D" w14:paraId="614881C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B907D22" w14:textId="77777777" w:rsidR="00657236" w:rsidRPr="00180B8D" w:rsidRDefault="00D655E7">
            <w:pPr>
              <w:pStyle w:val="P68B1DB1-Normal2"/>
              <w:spacing w:after="0" w:line="240" w:lineRule="auto"/>
              <w:jc w:val="center"/>
              <w:rPr>
                <w:lang w:val="en-GB"/>
              </w:rPr>
            </w:pPr>
            <w:r w:rsidRPr="00180B8D">
              <w:rPr>
                <w:lang w:val="en-GB"/>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1D77AA" w14:textId="5DDB82D5" w:rsidR="00657236" w:rsidRPr="00180B8D" w:rsidRDefault="00D655E7">
            <w:pPr>
              <w:pStyle w:val="P68B1DB1-Normal2"/>
              <w:spacing w:after="0" w:line="240" w:lineRule="auto"/>
              <w:rPr>
                <w:lang w:val="en-GB"/>
              </w:rPr>
            </w:pPr>
            <w:r w:rsidRPr="00180B8D">
              <w:rPr>
                <w:lang w:val="en-GB"/>
              </w:rPr>
              <w:t xml:space="preserve">Energy – </w:t>
            </w:r>
            <w:r w:rsidR="00115A3C" w:rsidRPr="00115A3C">
              <w:t>EU ETS carbon trading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848753" w14:textId="77777777" w:rsidR="00657236" w:rsidRPr="00180B8D" w:rsidRDefault="00D655E7">
            <w:pPr>
              <w:pStyle w:val="P68B1DB1-Normal2"/>
              <w:spacing w:after="0" w:line="240" w:lineRule="auto"/>
              <w:jc w:val="center"/>
              <w:rPr>
                <w:lang w:val="en-GB"/>
              </w:rPr>
            </w:pPr>
            <w:r w:rsidRPr="00180B8D">
              <w:rPr>
                <w:lang w:val="en-GB"/>
              </w:rPr>
              <w:t>40 %</w:t>
            </w:r>
          </w:p>
        </w:tc>
      </w:tr>
      <w:tr w:rsidR="00657236" w:rsidRPr="00180B8D" w14:paraId="14574AE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5A858AF" w14:textId="77777777" w:rsidR="00657236" w:rsidRPr="00180B8D" w:rsidRDefault="00D655E7">
            <w:pPr>
              <w:pStyle w:val="P68B1DB1-Normal2"/>
              <w:spacing w:after="0" w:line="240" w:lineRule="auto"/>
              <w:jc w:val="center"/>
              <w:rPr>
                <w:lang w:val="en-GB"/>
              </w:rPr>
            </w:pPr>
            <w:r w:rsidRPr="00180B8D">
              <w:rPr>
                <w:lang w:val="en-GB"/>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65F08CB" w14:textId="56D431ED" w:rsidR="00657236" w:rsidRPr="00180B8D" w:rsidRDefault="00D655E7">
            <w:pPr>
              <w:pStyle w:val="P68B1DB1-Normal2"/>
              <w:spacing w:after="0" w:line="240" w:lineRule="auto"/>
              <w:rPr>
                <w:lang w:val="en-GB"/>
              </w:rPr>
            </w:pPr>
            <w:r w:rsidRPr="00180B8D">
              <w:rPr>
                <w:lang w:val="en-GB"/>
              </w:rPr>
              <w:t xml:space="preserve">Energy – </w:t>
            </w:r>
            <w:r w:rsidR="00115A3C" w:rsidRPr="00115A3C">
              <w:t>non-EU ETS carbon trading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117B4" w14:textId="77777777" w:rsidR="00657236" w:rsidRPr="00180B8D" w:rsidRDefault="00D655E7">
            <w:pPr>
              <w:pStyle w:val="P68B1DB1-Normal2"/>
              <w:spacing w:after="0" w:line="240" w:lineRule="auto"/>
              <w:jc w:val="center"/>
              <w:rPr>
                <w:lang w:val="en-GB"/>
              </w:rPr>
            </w:pPr>
            <w:r w:rsidRPr="00180B8D">
              <w:rPr>
                <w:lang w:val="en-GB"/>
              </w:rPr>
              <w:t>60 %</w:t>
            </w:r>
          </w:p>
        </w:tc>
      </w:tr>
      <w:tr w:rsidR="00657236" w:rsidRPr="00180B8D" w14:paraId="269D003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3E24D92" w14:textId="77777777" w:rsidR="00657236" w:rsidRPr="00180B8D" w:rsidRDefault="00D655E7">
            <w:pPr>
              <w:pStyle w:val="P68B1DB1-Normal2"/>
              <w:spacing w:after="0" w:line="240" w:lineRule="auto"/>
              <w:jc w:val="center"/>
              <w:rPr>
                <w:lang w:val="en-GB"/>
              </w:rPr>
            </w:pPr>
            <w:r w:rsidRPr="00180B8D">
              <w:rPr>
                <w:lang w:val="en-GB"/>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BC6D452" w14:textId="2AB0A938" w:rsidR="00657236" w:rsidRPr="00180B8D" w:rsidRDefault="00115A3C">
            <w:pPr>
              <w:pStyle w:val="P68B1DB1-Normal2"/>
              <w:spacing w:after="0" w:line="240" w:lineRule="auto"/>
              <w:rPr>
                <w:lang w:val="en-GB"/>
              </w:rPr>
            </w:pPr>
            <w:r w:rsidRPr="00115A3C">
              <w:rPr>
                <w:lang w:val="en-GB"/>
              </w:rPr>
              <w:t>Freight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5CC386A" w14:textId="77777777" w:rsidR="00657236" w:rsidRPr="00180B8D" w:rsidRDefault="00D655E7">
            <w:pPr>
              <w:pStyle w:val="P68B1DB1-Normal2"/>
              <w:spacing w:after="0" w:line="240" w:lineRule="auto"/>
              <w:jc w:val="center"/>
              <w:rPr>
                <w:lang w:val="en-GB"/>
              </w:rPr>
            </w:pPr>
            <w:r w:rsidRPr="00180B8D">
              <w:rPr>
                <w:lang w:val="en-GB"/>
              </w:rPr>
              <w:t>80 %</w:t>
            </w:r>
          </w:p>
        </w:tc>
      </w:tr>
      <w:tr w:rsidR="00657236" w:rsidRPr="00180B8D" w14:paraId="725F6C18"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1D2ECA" w14:textId="77777777" w:rsidR="00657236" w:rsidRPr="00180B8D" w:rsidRDefault="00D655E7">
            <w:pPr>
              <w:pStyle w:val="P68B1DB1-Normal2"/>
              <w:spacing w:after="0" w:line="240" w:lineRule="auto"/>
              <w:jc w:val="center"/>
              <w:rPr>
                <w:lang w:val="en-GB"/>
              </w:rPr>
            </w:pPr>
            <w:r w:rsidRPr="00180B8D">
              <w:rPr>
                <w:lang w:val="en-GB"/>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A98F72A" w14:textId="3C641DE5" w:rsidR="00657236" w:rsidRPr="00180B8D" w:rsidRDefault="00115A3C">
            <w:pPr>
              <w:pStyle w:val="P68B1DB1-Normal2"/>
              <w:spacing w:after="0" w:line="240" w:lineRule="auto"/>
              <w:rPr>
                <w:lang w:val="en-GB"/>
              </w:rPr>
            </w:pPr>
            <w:r>
              <w:rPr>
                <w:lang w:val="en-GB"/>
              </w:rPr>
              <w:t xml:space="preserve">Metals – </w:t>
            </w:r>
            <w:r w:rsidRPr="00115A3C">
              <w:t>non-precious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4EE2CB" w14:textId="77777777" w:rsidR="00657236" w:rsidRPr="00180B8D" w:rsidRDefault="00D655E7">
            <w:pPr>
              <w:pStyle w:val="P68B1DB1-Normal2"/>
              <w:spacing w:after="0" w:line="240" w:lineRule="auto"/>
              <w:jc w:val="center"/>
              <w:rPr>
                <w:lang w:val="en-GB"/>
              </w:rPr>
            </w:pPr>
            <w:r w:rsidRPr="00180B8D">
              <w:rPr>
                <w:lang w:val="en-GB"/>
              </w:rPr>
              <w:t>40 %</w:t>
            </w:r>
          </w:p>
        </w:tc>
      </w:tr>
      <w:tr w:rsidR="00657236" w:rsidRPr="00180B8D" w14:paraId="6E999AAB"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1C2D991" w14:textId="77777777" w:rsidR="00657236" w:rsidRPr="00180B8D" w:rsidRDefault="00D655E7">
            <w:pPr>
              <w:pStyle w:val="P68B1DB1-Normal2"/>
              <w:spacing w:after="0" w:line="240" w:lineRule="auto"/>
              <w:jc w:val="center"/>
              <w:rPr>
                <w:lang w:val="en-GB"/>
              </w:rPr>
            </w:pPr>
            <w:r w:rsidRPr="00180B8D">
              <w:rPr>
                <w:lang w:val="en-GB"/>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B216B77" w14:textId="5E41914A" w:rsidR="00657236" w:rsidRPr="00180B8D" w:rsidRDefault="00D655E7">
            <w:pPr>
              <w:pStyle w:val="P68B1DB1-Normal2"/>
              <w:spacing w:after="0" w:line="240" w:lineRule="auto"/>
              <w:rPr>
                <w:lang w:val="en-GB"/>
              </w:rPr>
            </w:pPr>
            <w:r w:rsidRPr="00180B8D">
              <w:rPr>
                <w:lang w:val="en-GB"/>
              </w:rPr>
              <w:t xml:space="preserve">Gaseous </w:t>
            </w:r>
            <w:r w:rsidR="00115A3C" w:rsidRPr="00115A3C">
              <w:t>combustibles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C247B44" w14:textId="77777777" w:rsidR="00657236" w:rsidRPr="00180B8D" w:rsidRDefault="00D655E7">
            <w:pPr>
              <w:pStyle w:val="P68B1DB1-Normal2"/>
              <w:spacing w:after="0" w:line="240" w:lineRule="auto"/>
              <w:jc w:val="center"/>
              <w:rPr>
                <w:lang w:val="en-GB"/>
              </w:rPr>
            </w:pPr>
            <w:r w:rsidRPr="00180B8D">
              <w:rPr>
                <w:lang w:val="en-GB"/>
              </w:rPr>
              <w:t>45 %</w:t>
            </w:r>
          </w:p>
        </w:tc>
      </w:tr>
      <w:tr w:rsidR="00657236" w:rsidRPr="00180B8D" w14:paraId="760DEDEE"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5CF9074" w14:textId="77777777" w:rsidR="00657236" w:rsidRPr="00180B8D" w:rsidRDefault="00D655E7">
            <w:pPr>
              <w:pStyle w:val="P68B1DB1-Normal2"/>
              <w:spacing w:after="0" w:line="240" w:lineRule="auto"/>
              <w:jc w:val="center"/>
              <w:rPr>
                <w:lang w:val="en-GB"/>
              </w:rPr>
            </w:pPr>
            <w:r w:rsidRPr="00180B8D">
              <w:rPr>
                <w:lang w:val="en-GB"/>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6E56F35" w14:textId="1EA4EF00" w:rsidR="00657236" w:rsidRPr="00180B8D" w:rsidRDefault="00D655E7">
            <w:pPr>
              <w:pStyle w:val="P68B1DB1-Normal2"/>
              <w:spacing w:after="0" w:line="240" w:lineRule="auto"/>
              <w:rPr>
                <w:lang w:val="en-GB"/>
              </w:rPr>
            </w:pPr>
            <w:r w:rsidRPr="00180B8D">
              <w:rPr>
                <w:lang w:val="en-GB"/>
              </w:rPr>
              <w:t>Precious metals, including gold</w:t>
            </w:r>
            <w:r w:rsidR="00115A3C">
              <w:rPr>
                <w:lang w:val="en-GB"/>
              </w:rPr>
              <w:t xml:space="preserve">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AE81F84" w14:textId="77777777" w:rsidR="00657236" w:rsidRPr="00180B8D" w:rsidRDefault="00D655E7">
            <w:pPr>
              <w:pStyle w:val="P68B1DB1-Normal2"/>
              <w:spacing w:after="0" w:line="240" w:lineRule="auto"/>
              <w:jc w:val="center"/>
              <w:rPr>
                <w:lang w:val="en-GB"/>
              </w:rPr>
            </w:pPr>
            <w:r w:rsidRPr="00180B8D">
              <w:rPr>
                <w:lang w:val="en-GB"/>
              </w:rPr>
              <w:t>20 %</w:t>
            </w:r>
          </w:p>
        </w:tc>
      </w:tr>
      <w:tr w:rsidR="00657236" w:rsidRPr="00180B8D" w14:paraId="48406872"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F6DC1A5" w14:textId="77777777" w:rsidR="00657236" w:rsidRPr="00180B8D" w:rsidRDefault="00D655E7">
            <w:pPr>
              <w:pStyle w:val="P68B1DB1-Normal2"/>
              <w:spacing w:after="0" w:line="240" w:lineRule="auto"/>
              <w:jc w:val="center"/>
              <w:rPr>
                <w:lang w:val="en-GB"/>
              </w:rPr>
            </w:pPr>
            <w:r w:rsidRPr="00180B8D">
              <w:rPr>
                <w:lang w:val="en-GB"/>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0AA85ED" w14:textId="136BDFCD" w:rsidR="00657236" w:rsidRPr="00180B8D" w:rsidRDefault="00115A3C">
            <w:pPr>
              <w:pStyle w:val="P68B1DB1-Normal2"/>
              <w:spacing w:after="0" w:line="240" w:lineRule="auto"/>
              <w:rPr>
                <w:lang w:val="en-GB"/>
              </w:rPr>
            </w:pPr>
            <w:r w:rsidRPr="00115A3C">
              <w:t>Grains </w:t>
            </w:r>
            <w:r w:rsidRPr="00180B8D">
              <w:rPr>
                <w:lang w:val="en-GB"/>
              </w:rPr>
              <w:t>and oilseed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8E0844E" w14:textId="77777777" w:rsidR="00657236" w:rsidRPr="00180B8D" w:rsidRDefault="00D655E7">
            <w:pPr>
              <w:pStyle w:val="P68B1DB1-Normal2"/>
              <w:spacing w:after="0" w:line="240" w:lineRule="auto"/>
              <w:jc w:val="center"/>
              <w:rPr>
                <w:lang w:val="en-GB"/>
              </w:rPr>
            </w:pPr>
            <w:r w:rsidRPr="00180B8D">
              <w:rPr>
                <w:lang w:val="en-GB"/>
              </w:rPr>
              <w:t>35 %</w:t>
            </w:r>
          </w:p>
        </w:tc>
      </w:tr>
      <w:tr w:rsidR="00657236" w:rsidRPr="00180B8D" w14:paraId="24CA559C"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9F3C706" w14:textId="77777777" w:rsidR="00657236" w:rsidRPr="00180B8D" w:rsidRDefault="00D655E7">
            <w:pPr>
              <w:pStyle w:val="P68B1DB1-Normal2"/>
              <w:spacing w:after="0" w:line="240" w:lineRule="auto"/>
              <w:jc w:val="center"/>
              <w:rPr>
                <w:lang w:val="en-GB"/>
              </w:rPr>
            </w:pPr>
            <w:r w:rsidRPr="00180B8D">
              <w:rPr>
                <w:lang w:val="en-GB"/>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8271F06" w14:textId="68CC88F1" w:rsidR="00657236" w:rsidRPr="00180B8D" w:rsidRDefault="00115A3C">
            <w:pPr>
              <w:pStyle w:val="P68B1DB1-Normal2"/>
              <w:spacing w:after="0" w:line="240" w:lineRule="auto"/>
              <w:rPr>
                <w:lang w:val="en-GB"/>
              </w:rPr>
            </w:pPr>
            <w:r w:rsidRPr="00115A3C">
              <w:t>Livestock </w:t>
            </w:r>
            <w:r w:rsidRPr="00180B8D">
              <w:rPr>
                <w:lang w:val="en-GB"/>
              </w:rPr>
              <w:t xml:space="preserve">and dairy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FDE0DF6" w14:textId="77777777" w:rsidR="00657236" w:rsidRPr="00180B8D" w:rsidRDefault="00D655E7">
            <w:pPr>
              <w:pStyle w:val="P68B1DB1-Normal2"/>
              <w:spacing w:after="0" w:line="240" w:lineRule="auto"/>
              <w:jc w:val="center"/>
              <w:rPr>
                <w:lang w:val="en-GB"/>
              </w:rPr>
            </w:pPr>
            <w:r w:rsidRPr="00180B8D">
              <w:rPr>
                <w:lang w:val="en-GB"/>
              </w:rPr>
              <w:t>25 %</w:t>
            </w:r>
          </w:p>
        </w:tc>
      </w:tr>
      <w:tr w:rsidR="00657236" w:rsidRPr="00180B8D" w14:paraId="04D4A07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4300D7" w14:textId="77777777" w:rsidR="00657236" w:rsidRPr="00180B8D" w:rsidRDefault="00D655E7">
            <w:pPr>
              <w:pStyle w:val="P68B1DB1-Normal2"/>
              <w:spacing w:after="0" w:line="240" w:lineRule="auto"/>
              <w:jc w:val="center"/>
              <w:rPr>
                <w:lang w:val="en-GB"/>
              </w:rPr>
            </w:pPr>
            <w:r w:rsidRPr="00180B8D">
              <w:rPr>
                <w:lang w:val="en-GB"/>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83F04E" w14:textId="374A9486" w:rsidR="00657236" w:rsidRPr="00180B8D" w:rsidRDefault="00115A3C">
            <w:pPr>
              <w:pStyle w:val="P68B1DB1-Normal2"/>
              <w:spacing w:after="0" w:line="240" w:lineRule="auto"/>
              <w:rPr>
                <w:lang w:val="en-GB"/>
              </w:rPr>
            </w:pPr>
            <w:r w:rsidRPr="00115A3C">
              <w:t>Softs and other agricultural commodities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A69CA8" w14:textId="77777777" w:rsidR="00657236" w:rsidRPr="00180B8D" w:rsidRDefault="00D655E7">
            <w:pPr>
              <w:pStyle w:val="P68B1DB1-Normal2"/>
              <w:spacing w:after="0" w:line="240" w:lineRule="auto"/>
              <w:jc w:val="center"/>
              <w:rPr>
                <w:lang w:val="en-GB"/>
              </w:rPr>
            </w:pPr>
            <w:r w:rsidRPr="00180B8D">
              <w:rPr>
                <w:lang w:val="en-GB"/>
              </w:rPr>
              <w:t>35 %</w:t>
            </w:r>
          </w:p>
        </w:tc>
      </w:tr>
      <w:tr w:rsidR="00657236" w:rsidRPr="00180B8D" w14:paraId="0993A83A"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C1D1F6D" w14:textId="77777777" w:rsidR="00657236" w:rsidRPr="00180B8D" w:rsidRDefault="00D655E7">
            <w:pPr>
              <w:pStyle w:val="P68B1DB1-Normal2"/>
              <w:spacing w:after="0" w:line="240" w:lineRule="auto"/>
              <w:jc w:val="center"/>
              <w:rPr>
                <w:lang w:val="en-GB"/>
              </w:rPr>
            </w:pPr>
            <w:r w:rsidRPr="00180B8D">
              <w:rPr>
                <w:lang w:val="en-GB"/>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44B9C83" w14:textId="33A0F0A6" w:rsidR="00657236" w:rsidRPr="00180B8D" w:rsidRDefault="00D655E7">
            <w:pPr>
              <w:pStyle w:val="P68B1DB1-Normal2"/>
              <w:spacing w:after="0" w:line="240" w:lineRule="auto"/>
              <w:rPr>
                <w:lang w:val="en-GB"/>
              </w:rPr>
            </w:pPr>
            <w:proofErr w:type="gramStart"/>
            <w:r w:rsidRPr="00180B8D">
              <w:rPr>
                <w:lang w:val="en-GB"/>
              </w:rPr>
              <w:t>Other</w:t>
            </w:r>
            <w:proofErr w:type="gramEnd"/>
            <w:r w:rsidRPr="00180B8D">
              <w:rPr>
                <w:lang w:val="en-GB"/>
              </w:rPr>
              <w:t xml:space="preserve"> </w:t>
            </w:r>
            <w:r w:rsidR="00115A3C" w:rsidRPr="00115A3C">
              <w:t>commodity</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C00BDB" w14:textId="77777777" w:rsidR="00657236" w:rsidRPr="00180B8D" w:rsidRDefault="00D655E7">
            <w:pPr>
              <w:pStyle w:val="P68B1DB1-Normal2"/>
              <w:spacing w:after="0" w:line="240" w:lineRule="auto"/>
              <w:jc w:val="center"/>
              <w:rPr>
                <w:lang w:val="en-GB"/>
              </w:rPr>
            </w:pPr>
            <w:r w:rsidRPr="00180B8D">
              <w:rPr>
                <w:lang w:val="en-GB"/>
              </w:rPr>
              <w:t>50 %</w:t>
            </w:r>
          </w:p>
        </w:tc>
      </w:tr>
    </w:tbl>
    <w:p w14:paraId="00A9807B" w14:textId="77777777" w:rsidR="00657236" w:rsidRPr="00180B8D" w:rsidRDefault="00D655E7">
      <w:pPr>
        <w:pStyle w:val="P68B1DB1-Normal2"/>
        <w:spacing w:after="0" w:line="240" w:lineRule="auto"/>
        <w:ind w:firstLine="567"/>
        <w:jc w:val="both"/>
        <w:rPr>
          <w:lang w:val="en-GB"/>
        </w:rPr>
      </w:pPr>
      <w:r w:rsidRPr="00180B8D">
        <w:rPr>
          <w:lang w:val="en-GB"/>
        </w:rPr>
        <w:t> </w:t>
      </w:r>
    </w:p>
    <w:p w14:paraId="01B2A622" w14:textId="77777777" w:rsidR="00657236" w:rsidRPr="00180B8D" w:rsidRDefault="00D655E7">
      <w:pPr>
        <w:pStyle w:val="P68B1DB1-Normal2"/>
        <w:spacing w:after="0" w:line="240" w:lineRule="auto"/>
        <w:ind w:firstLine="567"/>
        <w:jc w:val="both"/>
        <w:rPr>
          <w:lang w:val="en-GB"/>
        </w:rPr>
      </w:pPr>
      <w:r w:rsidRPr="00180B8D">
        <w:rPr>
          <w:b/>
          <w:lang w:val="en-GB"/>
        </w:rPr>
        <w:t>110.</w:t>
      </w:r>
      <w:r w:rsidRPr="00180B8D">
        <w:rPr>
          <w:lang w:val="en-GB"/>
        </w:rPr>
        <w:t xml:space="preserve"> The risk weights for commodity </w:t>
      </w:r>
      <w:proofErr w:type="spellStart"/>
      <w:r w:rsidRPr="00180B8D">
        <w:rPr>
          <w:lang w:val="en-GB"/>
        </w:rPr>
        <w:t>vega</w:t>
      </w:r>
      <w:proofErr w:type="spellEnd"/>
      <w:r w:rsidRPr="00180B8D">
        <w:rPr>
          <w:lang w:val="en-GB"/>
        </w:rPr>
        <w:t xml:space="preserve"> risk shall be set at 100 %.</w:t>
      </w:r>
    </w:p>
    <w:p w14:paraId="3D9C29B7" w14:textId="77777777" w:rsidR="00657236" w:rsidRPr="00180B8D" w:rsidRDefault="00D655E7">
      <w:pPr>
        <w:pStyle w:val="P68B1DB1-Normal3"/>
        <w:spacing w:after="0" w:line="240" w:lineRule="auto"/>
        <w:jc w:val="center"/>
        <w:rPr>
          <w:lang w:val="en-GB"/>
        </w:rPr>
      </w:pPr>
      <w:r w:rsidRPr="00180B8D">
        <w:rPr>
          <w:lang w:val="en-GB"/>
        </w:rPr>
        <w:t>Section 22</w:t>
      </w:r>
    </w:p>
    <w:p w14:paraId="2AF91BC5" w14:textId="0391629B" w:rsidR="00657236" w:rsidRPr="00180B8D" w:rsidRDefault="00115A3C">
      <w:pPr>
        <w:pStyle w:val="P68B1DB1-Normal3"/>
        <w:spacing w:after="0" w:line="240" w:lineRule="auto"/>
        <w:jc w:val="center"/>
        <w:rPr>
          <w:lang w:val="en-GB"/>
        </w:rPr>
      </w:pPr>
      <w:r w:rsidRPr="00115A3C">
        <w:rPr>
          <w:bCs/>
        </w:rPr>
        <w:t>Correlations across buckets for commodity risk</w:t>
      </w:r>
      <w:r w:rsidRPr="00115A3C">
        <w:rPr>
          <w:lang w:val="en-GB"/>
        </w:rPr>
        <w:t xml:space="preserve"> </w:t>
      </w:r>
    </w:p>
    <w:p w14:paraId="31AB2E55" w14:textId="0B629B4D" w:rsidR="00657236" w:rsidRPr="00180B8D" w:rsidRDefault="00D655E7">
      <w:pPr>
        <w:pStyle w:val="P68B1DB1-Normal2"/>
        <w:spacing w:after="0" w:line="240" w:lineRule="auto"/>
        <w:ind w:firstLine="567"/>
        <w:jc w:val="both"/>
        <w:rPr>
          <w:lang w:val="en-GB"/>
        </w:rPr>
      </w:pPr>
      <w:r w:rsidRPr="00180B8D">
        <w:rPr>
          <w:b/>
          <w:lang w:val="en-GB"/>
        </w:rPr>
        <w:t>111.</w:t>
      </w:r>
      <w:r w:rsidRPr="00180B8D">
        <w:rPr>
          <w:lang w:val="en-GB"/>
        </w:rPr>
        <w:t xml:space="preserve"> The </w:t>
      </w:r>
      <w:r w:rsidR="00115A3C" w:rsidRPr="00115A3C">
        <w:t>cross-bucke</w:t>
      </w:r>
      <w:r w:rsidR="00115A3C">
        <w:t xml:space="preserve">t </w:t>
      </w:r>
      <w:r w:rsidRPr="00180B8D">
        <w:rPr>
          <w:lang w:val="en-GB"/>
        </w:rPr>
        <w:t xml:space="preserve">correlation parameter for commodity </w:t>
      </w:r>
      <w:r w:rsidR="00115A3C" w:rsidRPr="00180B8D">
        <w:rPr>
          <w:lang w:val="en-GB"/>
        </w:rPr>
        <w:t xml:space="preserve">delta </w:t>
      </w:r>
      <w:r w:rsidRPr="00180B8D">
        <w:rPr>
          <w:lang w:val="en-GB"/>
        </w:rPr>
        <w:t>risk shall be set at:</w:t>
      </w:r>
    </w:p>
    <w:p w14:paraId="0F1D3D96" w14:textId="6157F93C" w:rsidR="00657236" w:rsidRPr="00180B8D" w:rsidRDefault="00D655E7">
      <w:pPr>
        <w:pStyle w:val="P68B1DB1-Normal2"/>
        <w:spacing w:after="0" w:line="240" w:lineRule="auto"/>
        <w:ind w:firstLine="567"/>
        <w:jc w:val="both"/>
        <w:rPr>
          <w:lang w:val="en-GB"/>
        </w:rPr>
      </w:pPr>
      <w:r w:rsidRPr="00180B8D">
        <w:rPr>
          <w:lang w:val="en-GB"/>
        </w:rPr>
        <w:t xml:space="preserve">111.1. 20 % </w:t>
      </w:r>
      <w:r w:rsidR="00115A3C" w:rsidRPr="00115A3C">
        <w:t>where </w:t>
      </w:r>
      <w:r w:rsidRPr="00180B8D">
        <w:rPr>
          <w:lang w:val="en-GB"/>
        </w:rPr>
        <w:t xml:space="preserve">the two buckets fall within buckets 1 to 12 of </w:t>
      </w:r>
      <w:r w:rsidR="008258BF">
        <w:rPr>
          <w:lang w:val="en-GB"/>
        </w:rPr>
        <w:t>paragraph</w:t>
      </w:r>
      <w:r w:rsidRPr="00180B8D">
        <w:rPr>
          <w:lang w:val="en-GB"/>
        </w:rPr>
        <w:t xml:space="preserve"> 109, Table </w:t>
      </w:r>
      <w:proofErr w:type="gramStart"/>
      <w:r w:rsidRPr="00180B8D">
        <w:rPr>
          <w:lang w:val="en-GB"/>
        </w:rPr>
        <w:t>8;</w:t>
      </w:r>
      <w:proofErr w:type="gramEnd"/>
    </w:p>
    <w:p w14:paraId="6FD05AA3" w14:textId="51C541F1" w:rsidR="00657236" w:rsidRPr="00180B8D" w:rsidRDefault="00D655E7">
      <w:pPr>
        <w:pStyle w:val="P68B1DB1-Normal2"/>
        <w:spacing w:after="0" w:line="240" w:lineRule="auto"/>
        <w:ind w:firstLine="567"/>
        <w:jc w:val="both"/>
        <w:rPr>
          <w:lang w:val="en-GB"/>
        </w:rPr>
      </w:pPr>
      <w:r w:rsidRPr="00180B8D">
        <w:rPr>
          <w:lang w:val="en-GB"/>
        </w:rPr>
        <w:t xml:space="preserve">111.2. 0 % </w:t>
      </w:r>
      <w:r w:rsidR="00115A3C" w:rsidRPr="00115A3C">
        <w:t>where </w:t>
      </w:r>
      <w:r w:rsidRPr="00180B8D">
        <w:rPr>
          <w:lang w:val="en-GB"/>
        </w:rPr>
        <w:t>one of the two buckets is bucket 13 of paragraph 109, Table 8.</w:t>
      </w:r>
    </w:p>
    <w:p w14:paraId="2732136E" w14:textId="77777777" w:rsidR="00657236" w:rsidRPr="00180B8D" w:rsidRDefault="00D655E7">
      <w:pPr>
        <w:pStyle w:val="P68B1DB1-Normal2"/>
        <w:spacing w:after="0" w:line="240" w:lineRule="auto"/>
        <w:ind w:firstLine="567"/>
        <w:jc w:val="both"/>
        <w:rPr>
          <w:lang w:val="en-GB"/>
        </w:rPr>
      </w:pPr>
      <w:r w:rsidRPr="00180B8D">
        <w:rPr>
          <w:b/>
          <w:lang w:val="en-GB"/>
        </w:rPr>
        <w:t>112.</w:t>
      </w:r>
      <w:r w:rsidRPr="00180B8D">
        <w:rPr>
          <w:lang w:val="en-GB"/>
        </w:rPr>
        <w:t xml:space="preserve"> The cross-bucket correlation parameter for commodity </w:t>
      </w:r>
      <w:proofErr w:type="spellStart"/>
      <w:r w:rsidRPr="00180B8D">
        <w:rPr>
          <w:lang w:val="en-GB"/>
        </w:rPr>
        <w:t>vega</w:t>
      </w:r>
      <w:proofErr w:type="spellEnd"/>
      <w:r w:rsidRPr="00180B8D">
        <w:rPr>
          <w:lang w:val="en-GB"/>
        </w:rPr>
        <w:t xml:space="preserve"> risk shall be set at:</w:t>
      </w:r>
    </w:p>
    <w:p w14:paraId="4720324F" w14:textId="5D1B9EE1" w:rsidR="00657236" w:rsidRPr="00180B8D" w:rsidRDefault="00D655E7">
      <w:pPr>
        <w:pStyle w:val="P68B1DB1-Normal2"/>
        <w:spacing w:after="0" w:line="240" w:lineRule="auto"/>
        <w:ind w:firstLine="567"/>
        <w:jc w:val="both"/>
        <w:rPr>
          <w:lang w:val="en-GB"/>
        </w:rPr>
      </w:pPr>
      <w:r w:rsidRPr="00180B8D">
        <w:rPr>
          <w:lang w:val="en-GB"/>
        </w:rPr>
        <w:t xml:space="preserve">112.1. 20 % </w:t>
      </w:r>
      <w:r w:rsidR="00115A3C" w:rsidRPr="00115A3C">
        <w:t>where </w:t>
      </w:r>
      <w:r w:rsidRPr="00180B8D">
        <w:rPr>
          <w:lang w:val="en-GB"/>
        </w:rPr>
        <w:t xml:space="preserve">the two buckets fall within buckets 1 to 12 of </w:t>
      </w:r>
      <w:r w:rsidR="008258BF">
        <w:rPr>
          <w:lang w:val="en-GB"/>
        </w:rPr>
        <w:t>paragraph</w:t>
      </w:r>
      <w:r w:rsidRPr="00180B8D">
        <w:rPr>
          <w:lang w:val="en-GB"/>
        </w:rPr>
        <w:t xml:space="preserve"> 109, Table </w:t>
      </w:r>
      <w:proofErr w:type="gramStart"/>
      <w:r w:rsidRPr="00180B8D">
        <w:rPr>
          <w:lang w:val="en-GB"/>
        </w:rPr>
        <w:t>8;</w:t>
      </w:r>
      <w:proofErr w:type="gramEnd"/>
    </w:p>
    <w:p w14:paraId="3936E840" w14:textId="168350F4" w:rsidR="00657236" w:rsidRPr="00180B8D" w:rsidRDefault="00D655E7">
      <w:pPr>
        <w:pStyle w:val="P68B1DB1-Normal2"/>
        <w:spacing w:after="0" w:line="240" w:lineRule="auto"/>
        <w:ind w:firstLine="567"/>
        <w:jc w:val="both"/>
        <w:rPr>
          <w:lang w:val="en-GB"/>
        </w:rPr>
      </w:pPr>
      <w:r w:rsidRPr="00180B8D">
        <w:rPr>
          <w:lang w:val="en-GB"/>
        </w:rPr>
        <w:t xml:space="preserve">112.2. 0 % </w:t>
      </w:r>
      <w:r w:rsidR="00115A3C" w:rsidRPr="00115A3C">
        <w:t>where </w:t>
      </w:r>
      <w:r w:rsidRPr="00180B8D">
        <w:rPr>
          <w:lang w:val="en-GB"/>
        </w:rPr>
        <w:t>one of the two buckets is bucket 13 in paragraph 109, Table 8.</w:t>
      </w:r>
    </w:p>
    <w:p w14:paraId="0A78BA24" w14:textId="77777777" w:rsidR="00657236" w:rsidRPr="00180B8D" w:rsidRDefault="00D655E7">
      <w:pPr>
        <w:pStyle w:val="P68B1DB1-Normal2"/>
        <w:spacing w:after="0" w:line="240" w:lineRule="auto"/>
        <w:ind w:firstLine="567"/>
        <w:jc w:val="both"/>
        <w:rPr>
          <w:lang w:val="en-GB"/>
        </w:rPr>
      </w:pPr>
      <w:r w:rsidRPr="00180B8D">
        <w:rPr>
          <w:lang w:val="en-GB"/>
        </w:rPr>
        <w:t> </w:t>
      </w:r>
    </w:p>
    <w:p w14:paraId="5489B737" w14:textId="77777777" w:rsidR="00657236" w:rsidRPr="00180B8D" w:rsidRDefault="00D655E7">
      <w:pPr>
        <w:pStyle w:val="P68B1DB1-Normal2"/>
        <w:spacing w:after="0" w:line="240" w:lineRule="auto"/>
        <w:ind w:firstLine="567"/>
        <w:jc w:val="both"/>
        <w:rPr>
          <w:lang w:val="en-GB"/>
        </w:rPr>
      </w:pPr>
      <w:r w:rsidRPr="00180B8D">
        <w:rPr>
          <w:lang w:val="en-GB"/>
        </w:rPr>
        <w:t> </w:t>
      </w:r>
    </w:p>
    <w:p w14:paraId="4246A567" w14:textId="77777777" w:rsidR="00657236" w:rsidRPr="00180B8D" w:rsidRDefault="00D655E7">
      <w:pPr>
        <w:pStyle w:val="P68B1DB1-Normal1"/>
        <w:spacing w:after="0" w:line="240" w:lineRule="auto"/>
        <w:jc w:val="center"/>
        <w:rPr>
          <w:lang w:val="en-GB"/>
        </w:rPr>
      </w:pPr>
      <w:r w:rsidRPr="00180B8D">
        <w:rPr>
          <w:lang w:val="en-GB"/>
        </w:rPr>
        <w:t>CHAPTER V</w:t>
      </w:r>
    </w:p>
    <w:p w14:paraId="2B4433E4" w14:textId="77777777" w:rsidR="00657236" w:rsidRPr="00180B8D" w:rsidRDefault="00D655E7">
      <w:pPr>
        <w:pStyle w:val="P68B1DB1-Normal1"/>
        <w:spacing w:after="0" w:line="240" w:lineRule="auto"/>
        <w:jc w:val="center"/>
        <w:rPr>
          <w:lang w:val="en-GB"/>
        </w:rPr>
      </w:pPr>
      <w:r w:rsidRPr="00180B8D">
        <w:rPr>
          <w:lang w:val="en-GB"/>
        </w:rPr>
        <w:t>BASIC APPROACH</w:t>
      </w:r>
    </w:p>
    <w:p w14:paraId="728772A3" w14:textId="751D5E4A" w:rsidR="00657236" w:rsidRPr="00180B8D" w:rsidRDefault="00D655E7">
      <w:pPr>
        <w:pStyle w:val="P68B1DB1-Normal2"/>
        <w:spacing w:after="0" w:line="240" w:lineRule="auto"/>
        <w:ind w:firstLine="567"/>
        <w:jc w:val="both"/>
        <w:rPr>
          <w:lang w:val="en-GB"/>
        </w:rPr>
      </w:pPr>
      <w:r w:rsidRPr="00180B8D">
        <w:rPr>
          <w:b/>
          <w:lang w:val="en-GB"/>
        </w:rPr>
        <w:t>113.</w:t>
      </w:r>
      <w:r w:rsidRPr="00180B8D">
        <w:rPr>
          <w:lang w:val="en-GB"/>
        </w:rPr>
        <w:t xml:space="preserve"> The bank shall calculate the own funds requirements for CVA risk in accordance with paragraph 114 or 115, as applicable, for a portfolio of transactions with one or more counterparties, using one of the following formulae, as </w:t>
      </w:r>
      <w:r w:rsidR="008A1BEB" w:rsidRPr="008A1BEB">
        <w:t>appropriate</w:t>
      </w:r>
      <w:r w:rsidRPr="00180B8D">
        <w:rPr>
          <w:lang w:val="en-GB"/>
        </w:rPr>
        <w:t>:</w:t>
      </w:r>
      <w:r w:rsidR="008A1BEB">
        <w:rPr>
          <w:lang w:val="en-GB"/>
        </w:rPr>
        <w:t xml:space="preserve"> </w:t>
      </w:r>
    </w:p>
    <w:p w14:paraId="5145DBFD" w14:textId="044C584B" w:rsidR="00657236" w:rsidRPr="00180B8D" w:rsidRDefault="00D655E7">
      <w:pPr>
        <w:pStyle w:val="P68B1DB1-Normal2"/>
        <w:spacing w:after="0" w:line="240" w:lineRule="auto"/>
        <w:ind w:firstLine="567"/>
        <w:jc w:val="both"/>
        <w:rPr>
          <w:lang w:val="en-GB"/>
        </w:rPr>
      </w:pPr>
      <w:r w:rsidRPr="00180B8D">
        <w:rPr>
          <w:lang w:val="en-GB"/>
        </w:rPr>
        <w:t xml:space="preserve">113.1. the formula set out in paragraph 114, </w:t>
      </w:r>
      <w:r w:rsidR="008A1BEB" w:rsidRPr="008A1BEB">
        <w:t>where </w:t>
      </w:r>
      <w:r w:rsidRPr="00180B8D">
        <w:rPr>
          <w:lang w:val="en-GB"/>
        </w:rPr>
        <w:t>the bank includes in the calculation one or more eligible hedges recognised in accordance with paragraphs 119</w:t>
      </w:r>
      <w:r w:rsidR="008A1BEB">
        <w:rPr>
          <w:lang w:val="en-GB"/>
        </w:rPr>
        <w:t xml:space="preserve"> to </w:t>
      </w:r>
      <w:proofErr w:type="gramStart"/>
      <w:r w:rsidRPr="00180B8D">
        <w:rPr>
          <w:lang w:val="en-GB"/>
        </w:rPr>
        <w:t>124;</w:t>
      </w:r>
      <w:proofErr w:type="gramEnd"/>
    </w:p>
    <w:p w14:paraId="00154DA9" w14:textId="10FB3BAA" w:rsidR="00657236" w:rsidRPr="00180B8D" w:rsidRDefault="00D655E7">
      <w:pPr>
        <w:pStyle w:val="P68B1DB1-Normal2"/>
        <w:spacing w:after="0" w:line="240" w:lineRule="auto"/>
        <w:ind w:firstLine="567"/>
        <w:jc w:val="both"/>
        <w:rPr>
          <w:lang w:val="en-GB"/>
        </w:rPr>
      </w:pPr>
      <w:r w:rsidRPr="00180B8D">
        <w:rPr>
          <w:lang w:val="en-GB"/>
        </w:rPr>
        <w:t xml:space="preserve">113.2. the formula set out in paragraph 115, </w:t>
      </w:r>
      <w:r w:rsidR="008A1BEB" w:rsidRPr="008A1BEB">
        <w:t>where </w:t>
      </w:r>
      <w:r w:rsidRPr="00180B8D">
        <w:rPr>
          <w:lang w:val="en-GB"/>
        </w:rPr>
        <w:t>the bank does not include in the calculation any eligible hedges recognised in accordance with paragraphs 119</w:t>
      </w:r>
      <w:r w:rsidR="008A1BEB">
        <w:rPr>
          <w:lang w:val="en-GB"/>
        </w:rPr>
        <w:t xml:space="preserve"> to </w:t>
      </w:r>
      <w:r w:rsidRPr="00180B8D">
        <w:rPr>
          <w:lang w:val="en-GB"/>
        </w:rPr>
        <w:t>124.</w:t>
      </w:r>
    </w:p>
    <w:p w14:paraId="4C50EA37" w14:textId="77777777" w:rsidR="00657236" w:rsidRPr="00180B8D" w:rsidRDefault="00D655E7">
      <w:pPr>
        <w:pStyle w:val="P68B1DB1-Normal2"/>
        <w:spacing w:after="0" w:line="240" w:lineRule="auto"/>
        <w:ind w:firstLine="567"/>
        <w:jc w:val="both"/>
        <w:rPr>
          <w:lang w:val="en-GB"/>
        </w:rPr>
      </w:pPr>
      <w:r w:rsidRPr="00180B8D">
        <w:rPr>
          <w:lang w:val="en-GB"/>
        </w:rPr>
        <w:t>The approach set out in paragraph 113.1 shall not be used in combination with the approach set out in paragraph 113.2.</w:t>
      </w:r>
    </w:p>
    <w:p w14:paraId="5736250F" w14:textId="77777777" w:rsidR="00657236" w:rsidRPr="00180B8D" w:rsidRDefault="00D655E7">
      <w:pPr>
        <w:pStyle w:val="P68B1DB1-Normal2"/>
        <w:spacing w:after="0" w:line="240" w:lineRule="auto"/>
        <w:ind w:firstLine="567"/>
        <w:jc w:val="both"/>
        <w:rPr>
          <w:lang w:val="en-GB"/>
        </w:rPr>
      </w:pPr>
      <w:r w:rsidRPr="00180B8D">
        <w:rPr>
          <w:b/>
          <w:lang w:val="en-GB"/>
        </w:rPr>
        <w:t>114.</w:t>
      </w:r>
      <w:r w:rsidRPr="00180B8D">
        <w:rPr>
          <w:lang w:val="en-GB"/>
        </w:rPr>
        <w:t xml:space="preserve"> The bank that meets the condition referred to in paragraph 113.1 shall calculate the own funds requirements for CVA risk as follows:</w:t>
      </w:r>
    </w:p>
    <w:p w14:paraId="53389933" w14:textId="2C1AFB0D" w:rsidR="00657236" w:rsidRPr="00180B8D" w:rsidRDefault="00657236" w:rsidP="00EC12F5">
      <w:pPr>
        <w:pStyle w:val="P68B1DB1-Normal2"/>
        <w:spacing w:after="0" w:line="240" w:lineRule="auto"/>
        <w:ind w:firstLine="567"/>
        <w:jc w:val="center"/>
        <w:rPr>
          <w:lang w:val="en-GB"/>
        </w:rPr>
      </w:pPr>
    </w:p>
    <w:p w14:paraId="7118C4AD" w14:textId="77777777" w:rsidR="00EC12F5" w:rsidRPr="00EC12F5" w:rsidRDefault="00EC12F5" w:rsidP="00EC12F5">
      <w:pPr>
        <w:pStyle w:val="P68B1DB1-Normal2"/>
        <w:spacing w:line="240" w:lineRule="auto"/>
        <w:ind w:firstLine="567"/>
        <w:jc w:val="center"/>
        <w:rPr>
          <w:lang w:val="ro-MD"/>
        </w:rPr>
      </w:pPr>
      <w:proofErr w:type="spellStart"/>
      <w:r w:rsidRPr="00EC12F5">
        <w:rPr>
          <w:i/>
          <w:iCs/>
          <w:lang w:val="ro-MD"/>
        </w:rPr>
        <w:t>BACVA</w:t>
      </w:r>
      <w:r w:rsidRPr="00EC12F5">
        <w:rPr>
          <w:i/>
          <w:iCs/>
          <w:vertAlign w:val="superscript"/>
          <w:lang w:val="ro-MD"/>
        </w:rPr>
        <w:t>total</w:t>
      </w:r>
      <w:proofErr w:type="spellEnd"/>
      <w:r w:rsidRPr="00EC12F5">
        <w:rPr>
          <w:i/>
          <w:iCs/>
          <w:lang w:val="ro-MD"/>
        </w:rPr>
        <w:t xml:space="preserve"> = β · </w:t>
      </w:r>
      <w:proofErr w:type="spellStart"/>
      <w:r w:rsidRPr="00EC12F5">
        <w:rPr>
          <w:i/>
          <w:iCs/>
          <w:lang w:val="ro-MD"/>
        </w:rPr>
        <w:t>BACVA</w:t>
      </w:r>
      <w:r w:rsidRPr="00EC12F5">
        <w:rPr>
          <w:i/>
          <w:iCs/>
          <w:vertAlign w:val="superscript"/>
          <w:lang w:val="ro-MD"/>
        </w:rPr>
        <w:t>csr</w:t>
      </w:r>
      <w:proofErr w:type="spellEnd"/>
      <w:r w:rsidRPr="00EC12F5">
        <w:rPr>
          <w:i/>
          <w:iCs/>
          <w:vertAlign w:val="superscript"/>
          <w:lang w:val="ro-MD"/>
        </w:rPr>
        <w:t>–</w:t>
      </w:r>
      <w:proofErr w:type="spellStart"/>
      <w:r w:rsidRPr="00EC12F5">
        <w:rPr>
          <w:i/>
          <w:iCs/>
          <w:vertAlign w:val="superscript"/>
          <w:lang w:val="ro-MD"/>
        </w:rPr>
        <w:t>unhedged</w:t>
      </w:r>
      <w:proofErr w:type="spellEnd"/>
      <w:r w:rsidRPr="00EC12F5">
        <w:rPr>
          <w:i/>
          <w:iCs/>
          <w:lang w:val="ro-MD"/>
        </w:rPr>
        <w:t> + DS</w:t>
      </w:r>
      <w:r w:rsidRPr="00EC12F5">
        <w:rPr>
          <w:i/>
          <w:iCs/>
          <w:vertAlign w:val="subscript"/>
          <w:lang w:val="ro-MD"/>
        </w:rPr>
        <w:t>CVA</w:t>
      </w:r>
      <w:r w:rsidRPr="00EC12F5">
        <w:rPr>
          <w:i/>
          <w:iCs/>
          <w:lang w:val="ro-MD"/>
        </w:rPr>
        <w:t xml:space="preserve"> · (1 – β) · </w:t>
      </w:r>
      <w:proofErr w:type="spellStart"/>
      <w:r w:rsidRPr="00EC12F5">
        <w:rPr>
          <w:i/>
          <w:iCs/>
          <w:lang w:val="ro-MD"/>
        </w:rPr>
        <w:t>BACVA</w:t>
      </w:r>
      <w:r w:rsidRPr="00EC12F5">
        <w:rPr>
          <w:i/>
          <w:iCs/>
          <w:vertAlign w:val="superscript"/>
          <w:lang w:val="ro-MD"/>
        </w:rPr>
        <w:t>csr</w:t>
      </w:r>
      <w:proofErr w:type="spellEnd"/>
      <w:r w:rsidRPr="00EC12F5">
        <w:rPr>
          <w:i/>
          <w:iCs/>
          <w:vertAlign w:val="superscript"/>
          <w:lang w:val="ro-MD"/>
        </w:rPr>
        <w:t>–</w:t>
      </w:r>
      <w:proofErr w:type="spellStart"/>
      <w:r w:rsidRPr="00EC12F5">
        <w:rPr>
          <w:i/>
          <w:iCs/>
          <w:vertAlign w:val="superscript"/>
          <w:lang w:val="ro-MD"/>
        </w:rPr>
        <w:t>hedged</w:t>
      </w:r>
      <w:proofErr w:type="spellEnd"/>
    </w:p>
    <w:p w14:paraId="43441338" w14:textId="77777777" w:rsidR="00657236" w:rsidRPr="00180B8D" w:rsidRDefault="00D655E7">
      <w:pPr>
        <w:pStyle w:val="P68B1DB1-Normal2"/>
        <w:spacing w:after="0" w:line="240" w:lineRule="auto"/>
        <w:ind w:firstLine="567"/>
        <w:jc w:val="both"/>
        <w:rPr>
          <w:lang w:val="en-GB"/>
        </w:rPr>
      </w:pPr>
      <w:r w:rsidRPr="00180B8D">
        <w:rPr>
          <w:lang w:val="en-GB"/>
        </w:rPr>
        <w:t>where:</w:t>
      </w:r>
    </w:p>
    <w:tbl>
      <w:tblPr>
        <w:tblW w:w="4500" w:type="pct"/>
        <w:jc w:val="center"/>
        <w:tblCellMar>
          <w:top w:w="15" w:type="dxa"/>
          <w:left w:w="15" w:type="dxa"/>
          <w:bottom w:w="15" w:type="dxa"/>
          <w:right w:w="15" w:type="dxa"/>
        </w:tblCellMar>
        <w:tblLook w:val="04A0" w:firstRow="1" w:lastRow="0" w:firstColumn="1" w:lastColumn="0" w:noHBand="0" w:noVBand="1"/>
      </w:tblPr>
      <w:tblGrid>
        <w:gridCol w:w="1741"/>
        <w:gridCol w:w="6679"/>
      </w:tblGrid>
      <w:tr w:rsidR="00657236" w:rsidRPr="00180B8D" w14:paraId="7E0C55E4" w14:textId="77777777">
        <w:trPr>
          <w:jc w:val="center"/>
        </w:trPr>
        <w:tc>
          <w:tcPr>
            <w:tcW w:w="0" w:type="auto"/>
            <w:tcBorders>
              <w:top w:val="nil"/>
              <w:left w:val="nil"/>
              <w:bottom w:val="nil"/>
              <w:right w:val="nil"/>
            </w:tcBorders>
            <w:tcMar>
              <w:top w:w="24" w:type="dxa"/>
              <w:left w:w="48" w:type="dxa"/>
              <w:bottom w:w="24" w:type="dxa"/>
              <w:right w:w="48" w:type="dxa"/>
            </w:tcMar>
            <w:hideMark/>
          </w:tcPr>
          <w:p w14:paraId="25A21766" w14:textId="2F699D69" w:rsidR="00657236" w:rsidRPr="00180B8D" w:rsidRDefault="00EC12F5">
            <w:pPr>
              <w:pStyle w:val="P68B1DB1-Normal4"/>
              <w:spacing w:after="0" w:line="240" w:lineRule="auto"/>
              <w:rPr>
                <w:lang w:val="en-GB"/>
              </w:rPr>
            </w:pPr>
            <w:proofErr w:type="spellStart"/>
            <w:r w:rsidRPr="00EC12F5">
              <w:rPr>
                <w:iCs/>
              </w:rPr>
              <w:t>BACVA</w:t>
            </w:r>
            <w:r w:rsidRPr="00EC12F5">
              <w:rPr>
                <w:iCs/>
                <w:vertAlign w:val="superscript"/>
              </w:rPr>
              <w:t>total</w:t>
            </w:r>
            <w:proofErr w:type="spellEnd"/>
          </w:p>
        </w:tc>
        <w:tc>
          <w:tcPr>
            <w:tcW w:w="0" w:type="auto"/>
            <w:tcBorders>
              <w:top w:val="nil"/>
              <w:left w:val="nil"/>
              <w:bottom w:val="nil"/>
              <w:right w:val="nil"/>
            </w:tcBorders>
            <w:tcMar>
              <w:top w:w="24" w:type="dxa"/>
              <w:left w:w="48" w:type="dxa"/>
              <w:bottom w:w="24" w:type="dxa"/>
              <w:right w:w="48" w:type="dxa"/>
            </w:tcMar>
            <w:hideMark/>
          </w:tcPr>
          <w:p w14:paraId="5668658A" w14:textId="77777777" w:rsidR="00657236" w:rsidRPr="00180B8D" w:rsidRDefault="00D655E7">
            <w:pPr>
              <w:pStyle w:val="P68B1DB1-Normal2"/>
              <w:spacing w:after="0" w:line="240" w:lineRule="auto"/>
              <w:rPr>
                <w:lang w:val="en-GB"/>
              </w:rPr>
            </w:pPr>
            <w:r w:rsidRPr="00180B8D">
              <w:rPr>
                <w:lang w:val="en-GB"/>
              </w:rPr>
              <w:t>= the own funds requirements for CVA risk under the basic approach;</w:t>
            </w:r>
          </w:p>
        </w:tc>
      </w:tr>
      <w:tr w:rsidR="00657236" w:rsidRPr="00180B8D" w14:paraId="7338CEBA" w14:textId="77777777">
        <w:trPr>
          <w:jc w:val="center"/>
        </w:trPr>
        <w:tc>
          <w:tcPr>
            <w:tcW w:w="0" w:type="auto"/>
            <w:tcBorders>
              <w:top w:val="nil"/>
              <w:left w:val="nil"/>
              <w:bottom w:val="nil"/>
              <w:right w:val="nil"/>
            </w:tcBorders>
            <w:noWrap/>
            <w:tcMar>
              <w:top w:w="24" w:type="dxa"/>
              <w:left w:w="48" w:type="dxa"/>
              <w:bottom w:w="24" w:type="dxa"/>
              <w:right w:w="48" w:type="dxa"/>
            </w:tcMar>
            <w:hideMark/>
          </w:tcPr>
          <w:p w14:paraId="4E62A5FC" w14:textId="77777777" w:rsidR="00EC12F5" w:rsidRPr="00EC12F5" w:rsidRDefault="00EC12F5" w:rsidP="00EC12F5">
            <w:pPr>
              <w:pStyle w:val="dlist-term"/>
              <w:spacing w:before="195" w:beforeAutospacing="0" w:after="0" w:afterAutospacing="0" w:line="312" w:lineRule="atLeast"/>
              <w:rPr>
                <w:color w:val="333333"/>
              </w:rPr>
            </w:pPr>
            <w:proofErr w:type="spellStart"/>
            <w:r w:rsidRPr="00EC12F5">
              <w:rPr>
                <w:rStyle w:val="italics"/>
                <w:i/>
                <w:iCs/>
                <w:color w:val="333333"/>
              </w:rPr>
              <w:t>BACVA</w:t>
            </w:r>
            <w:r w:rsidRPr="00EC12F5">
              <w:rPr>
                <w:rStyle w:val="superscript"/>
                <w:i/>
                <w:iCs/>
                <w:color w:val="333333"/>
                <w:vertAlign w:val="superscript"/>
              </w:rPr>
              <w:t>csr</w:t>
            </w:r>
            <w:proofErr w:type="spellEnd"/>
            <w:r w:rsidRPr="00EC12F5">
              <w:rPr>
                <w:rStyle w:val="superscript"/>
                <w:i/>
                <w:iCs/>
                <w:color w:val="333333"/>
                <w:vertAlign w:val="superscript"/>
              </w:rPr>
              <w:t>–</w:t>
            </w:r>
            <w:proofErr w:type="spellStart"/>
            <w:r w:rsidRPr="00EC12F5">
              <w:rPr>
                <w:rStyle w:val="superscript"/>
                <w:i/>
                <w:iCs/>
                <w:color w:val="333333"/>
                <w:vertAlign w:val="superscript"/>
              </w:rPr>
              <w:t>unhedged</w:t>
            </w:r>
            <w:proofErr w:type="spellEnd"/>
          </w:p>
          <w:p w14:paraId="3A480836" w14:textId="496519D4" w:rsidR="00657236" w:rsidRPr="00EC12F5" w:rsidRDefault="00657236">
            <w:pPr>
              <w:pStyle w:val="P68B1DB1-Normal4"/>
              <w:spacing w:after="0" w:line="240" w:lineRule="auto"/>
              <w:rPr>
                <w:lang w:val="en-GB"/>
              </w:rPr>
            </w:pPr>
          </w:p>
        </w:tc>
        <w:tc>
          <w:tcPr>
            <w:tcW w:w="0" w:type="auto"/>
            <w:tcBorders>
              <w:top w:val="nil"/>
              <w:left w:val="nil"/>
              <w:bottom w:val="nil"/>
              <w:right w:val="nil"/>
            </w:tcBorders>
            <w:tcMar>
              <w:top w:w="24" w:type="dxa"/>
              <w:left w:w="48" w:type="dxa"/>
              <w:bottom w:w="24" w:type="dxa"/>
              <w:right w:w="48" w:type="dxa"/>
            </w:tcMar>
            <w:hideMark/>
          </w:tcPr>
          <w:p w14:paraId="786FC72C" w14:textId="3A8F235A" w:rsidR="00657236" w:rsidRPr="00180B8D" w:rsidRDefault="00D655E7">
            <w:pPr>
              <w:pStyle w:val="P68B1DB1-Normal2"/>
              <w:spacing w:after="0" w:line="240" w:lineRule="auto"/>
              <w:rPr>
                <w:lang w:val="en-GB"/>
              </w:rPr>
            </w:pPr>
            <w:r w:rsidRPr="00180B8D">
              <w:rPr>
                <w:lang w:val="en-GB"/>
              </w:rPr>
              <w:t xml:space="preserve">= the own funds requirements for CVA risk under the basic approach </w:t>
            </w:r>
            <w:r w:rsidR="00EC12F5">
              <w:rPr>
                <w:lang w:val="en-GB"/>
              </w:rPr>
              <w:t xml:space="preserve">as </w:t>
            </w:r>
            <w:r w:rsidRPr="00180B8D">
              <w:rPr>
                <w:lang w:val="en-GB"/>
              </w:rPr>
              <w:t xml:space="preserve">calculated in accordance with paragraph 115 for the bank that meets the condition set out in </w:t>
            </w:r>
            <w:r w:rsidR="00EC12F5">
              <w:rPr>
                <w:lang w:val="en-GB"/>
              </w:rPr>
              <w:t>subparagraph</w:t>
            </w:r>
            <w:r w:rsidRPr="00180B8D">
              <w:rPr>
                <w:lang w:val="en-GB"/>
              </w:rPr>
              <w:t xml:space="preserve"> 113.2;</w:t>
            </w:r>
          </w:p>
        </w:tc>
      </w:tr>
      <w:tr w:rsidR="00657236" w:rsidRPr="00180B8D" w14:paraId="608557D5" w14:textId="77777777">
        <w:trPr>
          <w:jc w:val="center"/>
        </w:trPr>
        <w:tc>
          <w:tcPr>
            <w:tcW w:w="0" w:type="auto"/>
            <w:tcBorders>
              <w:top w:val="nil"/>
              <w:left w:val="nil"/>
              <w:bottom w:val="nil"/>
              <w:right w:val="nil"/>
            </w:tcBorders>
            <w:tcMar>
              <w:top w:w="24" w:type="dxa"/>
              <w:left w:w="48" w:type="dxa"/>
              <w:bottom w:w="24" w:type="dxa"/>
              <w:right w:w="48" w:type="dxa"/>
            </w:tcMar>
            <w:hideMark/>
          </w:tcPr>
          <w:p w14:paraId="655FBD90" w14:textId="77777777" w:rsidR="00657236" w:rsidRPr="00180B8D" w:rsidRDefault="00D655E7">
            <w:pPr>
              <w:pStyle w:val="P68B1DB1-Normal4"/>
              <w:spacing w:after="0" w:line="240" w:lineRule="auto"/>
              <w:rPr>
                <w:lang w:val="en-GB"/>
              </w:rPr>
            </w:pPr>
            <w:r w:rsidRPr="00180B8D">
              <w:rPr>
                <w:lang w:val="en-GB"/>
              </w:rPr>
              <w:lastRenderedPageBreak/>
              <w:t>DS</w:t>
            </w:r>
            <w:r w:rsidRPr="00180B8D">
              <w:rPr>
                <w:vertAlign w:val="subscript"/>
                <w:lang w:val="en-GB"/>
              </w:rPr>
              <w:t xml:space="preserve"> CVA</w:t>
            </w:r>
          </w:p>
        </w:tc>
        <w:tc>
          <w:tcPr>
            <w:tcW w:w="0" w:type="auto"/>
            <w:tcBorders>
              <w:top w:val="nil"/>
              <w:left w:val="nil"/>
              <w:bottom w:val="nil"/>
              <w:right w:val="nil"/>
            </w:tcBorders>
            <w:tcMar>
              <w:top w:w="24" w:type="dxa"/>
              <w:left w:w="48" w:type="dxa"/>
              <w:bottom w:w="24" w:type="dxa"/>
              <w:right w:w="48" w:type="dxa"/>
            </w:tcMar>
            <w:hideMark/>
          </w:tcPr>
          <w:p w14:paraId="24F8313B" w14:textId="77777777" w:rsidR="00657236" w:rsidRPr="00180B8D" w:rsidRDefault="00D655E7">
            <w:pPr>
              <w:pStyle w:val="P68B1DB1-Normal2"/>
              <w:spacing w:after="0" w:line="240" w:lineRule="auto"/>
              <w:rPr>
                <w:lang w:val="en-GB"/>
              </w:rPr>
            </w:pPr>
            <w:r w:rsidRPr="00180B8D">
              <w:rPr>
                <w:lang w:val="en-GB"/>
              </w:rPr>
              <w:t>= 0,65;</w:t>
            </w:r>
          </w:p>
        </w:tc>
      </w:tr>
      <w:tr w:rsidR="00657236" w:rsidRPr="00180B8D" w14:paraId="4334AAF3" w14:textId="77777777">
        <w:trPr>
          <w:jc w:val="center"/>
        </w:trPr>
        <w:tc>
          <w:tcPr>
            <w:tcW w:w="0" w:type="auto"/>
            <w:tcBorders>
              <w:top w:val="nil"/>
              <w:left w:val="nil"/>
              <w:bottom w:val="nil"/>
              <w:right w:val="nil"/>
            </w:tcBorders>
            <w:tcMar>
              <w:top w:w="24" w:type="dxa"/>
              <w:left w:w="48" w:type="dxa"/>
              <w:bottom w:w="24" w:type="dxa"/>
              <w:right w:w="48" w:type="dxa"/>
            </w:tcMar>
            <w:hideMark/>
          </w:tcPr>
          <w:p w14:paraId="76877771" w14:textId="77777777" w:rsidR="00657236" w:rsidRPr="00180B8D" w:rsidRDefault="00D655E7">
            <w:pPr>
              <w:pStyle w:val="P68B1DB1-Normal4"/>
              <w:spacing w:after="0" w:line="240" w:lineRule="auto"/>
              <w:rPr>
                <w:lang w:val="en-GB"/>
              </w:rPr>
            </w:pPr>
            <w:r w:rsidRPr="00180B8D">
              <w:rPr>
                <w:lang w:val="en-GB"/>
              </w:rPr>
              <w:t>β</w:t>
            </w:r>
          </w:p>
        </w:tc>
        <w:tc>
          <w:tcPr>
            <w:tcW w:w="0" w:type="auto"/>
            <w:tcBorders>
              <w:top w:val="nil"/>
              <w:left w:val="nil"/>
              <w:bottom w:val="nil"/>
              <w:right w:val="nil"/>
            </w:tcBorders>
            <w:tcMar>
              <w:top w:w="24" w:type="dxa"/>
              <w:left w:w="48" w:type="dxa"/>
              <w:bottom w:w="24" w:type="dxa"/>
              <w:right w:w="48" w:type="dxa"/>
            </w:tcMar>
            <w:hideMark/>
          </w:tcPr>
          <w:p w14:paraId="45FE2DED" w14:textId="77777777" w:rsidR="00657236" w:rsidRPr="00180B8D" w:rsidRDefault="00D655E7">
            <w:pPr>
              <w:pStyle w:val="P68B1DB1-Normal2"/>
              <w:spacing w:after="0" w:line="240" w:lineRule="auto"/>
              <w:rPr>
                <w:lang w:val="en-GB"/>
              </w:rPr>
            </w:pPr>
            <w:r w:rsidRPr="00180B8D">
              <w:rPr>
                <w:lang w:val="en-GB"/>
              </w:rPr>
              <w:t>= 0,25;</w:t>
            </w:r>
          </w:p>
        </w:tc>
      </w:tr>
    </w:tbl>
    <w:p w14:paraId="568EFB8D" w14:textId="77777777" w:rsidR="00657236" w:rsidRPr="00180B8D" w:rsidRDefault="00D655E7">
      <w:pPr>
        <w:pStyle w:val="P68B1DB1-Normal2"/>
        <w:spacing w:after="0" w:line="240" w:lineRule="auto"/>
        <w:ind w:firstLine="567"/>
        <w:jc w:val="both"/>
        <w:rPr>
          <w:lang w:val="en-GB"/>
        </w:rPr>
      </w:pPr>
      <w:r w:rsidRPr="00180B8D">
        <w:rPr>
          <w:lang w:val="en-GB"/>
        </w:rPr>
        <w:t> </w:t>
      </w:r>
    </w:p>
    <w:p w14:paraId="465530CE" w14:textId="4F6A696B" w:rsidR="00657236" w:rsidRPr="00180B8D" w:rsidRDefault="00EC12F5">
      <w:pPr>
        <w:pStyle w:val="P68B1DB1-Normal2"/>
        <w:spacing w:after="0" w:line="240" w:lineRule="auto"/>
        <w:jc w:val="center"/>
        <w:rPr>
          <w:lang w:val="en-GB"/>
        </w:rPr>
      </w:pPr>
      <w:r w:rsidRPr="00EC12F5">
        <w:t xml:space="preserve"> </w:t>
      </w:r>
      <w:r>
        <w:rPr>
          <w:noProof/>
        </w:rPr>
        <w:drawing>
          <wp:inline distT="0" distB="0" distL="0" distR="0" wp14:anchorId="48A8CC63" wp14:editId="6942C45C">
            <wp:extent cx="5822939" cy="1074266"/>
            <wp:effectExtent l="0" t="0" r="6985" b="0"/>
            <wp:docPr id="1682180420" name="Pictur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image"/>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841078" cy="1077612"/>
                    </a:xfrm>
                    <a:prstGeom prst="rect">
                      <a:avLst/>
                    </a:prstGeom>
                    <a:noFill/>
                    <a:ln>
                      <a:noFill/>
                    </a:ln>
                  </pic:spPr>
                </pic:pic>
              </a:graphicData>
            </a:graphic>
          </wp:inline>
        </w:drawing>
      </w:r>
    </w:p>
    <w:p w14:paraId="4D3E2DD8" w14:textId="77777777" w:rsidR="00657236" w:rsidRPr="00180B8D" w:rsidRDefault="00D655E7">
      <w:pPr>
        <w:pStyle w:val="P68B1DB1-Normal2"/>
        <w:spacing w:after="0" w:line="240" w:lineRule="auto"/>
        <w:ind w:firstLine="567"/>
        <w:jc w:val="both"/>
        <w:rPr>
          <w:lang w:val="en-GB"/>
        </w:rPr>
      </w:pPr>
      <w:r w:rsidRPr="00180B8D">
        <w:rPr>
          <w:lang w:val="en-GB"/>
        </w:rPr>
        <w:t>where:</w:t>
      </w:r>
    </w:p>
    <w:p w14:paraId="03C49F3B" w14:textId="73337E2E" w:rsidR="00EC12F5" w:rsidRPr="00EC12F5" w:rsidRDefault="00EC12F5" w:rsidP="00EC12F5">
      <w:pPr>
        <w:pStyle w:val="P68B1DB1-Normal2"/>
        <w:spacing w:line="240" w:lineRule="auto"/>
        <w:ind w:firstLine="567"/>
        <w:rPr>
          <w:noProof/>
          <w:lang w:val="ro-MD"/>
        </w:rPr>
      </w:pPr>
      <w:r w:rsidRPr="00EC12F5">
        <w:rPr>
          <w:noProof/>
          <w:lang w:val="ro-MD"/>
        </w:rPr>
        <w:drawing>
          <wp:inline distT="0" distB="0" distL="0" distR="0" wp14:anchorId="375076CC" wp14:editId="2B2C9AFE">
            <wp:extent cx="3464583" cy="543464"/>
            <wp:effectExtent l="0" t="0" r="2540" b="9525"/>
            <wp:docPr id="255005184" name="Picture 2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image"/>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505526" cy="549886"/>
                    </a:xfrm>
                    <a:prstGeom prst="rect">
                      <a:avLst/>
                    </a:prstGeom>
                    <a:noFill/>
                    <a:ln>
                      <a:noFill/>
                    </a:ln>
                  </pic:spPr>
                </pic:pic>
              </a:graphicData>
            </a:graphic>
          </wp:inline>
        </w:drawing>
      </w:r>
    </w:p>
    <w:p w14:paraId="291D49B7" w14:textId="0EE8E810" w:rsidR="00EC12F5" w:rsidRPr="00EC12F5" w:rsidRDefault="00EC12F5" w:rsidP="00EC12F5">
      <w:pPr>
        <w:pStyle w:val="P68B1DB1-Normal2"/>
        <w:spacing w:line="240" w:lineRule="auto"/>
        <w:ind w:firstLine="567"/>
        <w:rPr>
          <w:noProof/>
          <w:lang w:val="ro-MD"/>
        </w:rPr>
      </w:pPr>
      <w:r w:rsidRPr="00EC12F5">
        <w:rPr>
          <w:noProof/>
          <w:lang w:val="ro-MD"/>
        </w:rPr>
        <w:drawing>
          <wp:inline distT="0" distB="0" distL="0" distR="0" wp14:anchorId="24EA3BDD" wp14:editId="2E55C328">
            <wp:extent cx="2819400" cy="457200"/>
            <wp:effectExtent l="0" t="0" r="0" b="0"/>
            <wp:docPr id="502845492" name="Picture 2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image"/>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819400" cy="457200"/>
                    </a:xfrm>
                    <a:prstGeom prst="rect">
                      <a:avLst/>
                    </a:prstGeom>
                    <a:noFill/>
                    <a:ln>
                      <a:noFill/>
                    </a:ln>
                  </pic:spPr>
                </pic:pic>
              </a:graphicData>
            </a:graphic>
          </wp:inline>
        </w:drawing>
      </w:r>
    </w:p>
    <w:p w14:paraId="63A1BC8F" w14:textId="5E2F6A94" w:rsidR="00EC12F5" w:rsidRPr="00EC12F5" w:rsidRDefault="00EC12F5" w:rsidP="00EC12F5">
      <w:pPr>
        <w:pStyle w:val="P68B1DB1-Normal2"/>
        <w:spacing w:line="240" w:lineRule="auto"/>
        <w:ind w:firstLine="567"/>
        <w:rPr>
          <w:noProof/>
          <w:lang w:val="ro-MD"/>
        </w:rPr>
      </w:pPr>
      <w:r w:rsidRPr="00EC12F5">
        <w:rPr>
          <w:noProof/>
          <w:lang w:val="ro-MD"/>
        </w:rPr>
        <w:drawing>
          <wp:inline distT="0" distB="0" distL="0" distR="0" wp14:anchorId="49075943" wp14:editId="55AECF5B">
            <wp:extent cx="2616678" cy="483079"/>
            <wp:effectExtent l="0" t="0" r="0" b="0"/>
            <wp:docPr id="60165488" name="Picture 2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image"/>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641083" cy="487584"/>
                    </a:xfrm>
                    <a:prstGeom prst="rect">
                      <a:avLst/>
                    </a:prstGeom>
                    <a:noFill/>
                    <a:ln>
                      <a:noFill/>
                    </a:ln>
                  </pic:spPr>
                </pic:pic>
              </a:graphicData>
            </a:graphic>
          </wp:inline>
        </w:drawing>
      </w:r>
    </w:p>
    <w:p w14:paraId="65719D98" w14:textId="6E536C69" w:rsidR="00657236" w:rsidRPr="00EC12F5" w:rsidRDefault="00EC12F5" w:rsidP="00EC12F5">
      <w:pPr>
        <w:pStyle w:val="P68B1DB1-Normal2"/>
        <w:spacing w:line="240" w:lineRule="auto"/>
        <w:ind w:firstLine="567"/>
        <w:rPr>
          <w:noProof/>
          <w:lang w:val="ro-MD"/>
        </w:rPr>
      </w:pPr>
      <w:r w:rsidRPr="00EC12F5">
        <w:rPr>
          <w:noProof/>
          <w:lang w:val="ro-MD"/>
        </w:rPr>
        <w:drawing>
          <wp:inline distT="0" distB="0" distL="0" distR="0" wp14:anchorId="39F84039" wp14:editId="1DA17268">
            <wp:extent cx="3488635" cy="457200"/>
            <wp:effectExtent l="0" t="0" r="0" b="0"/>
            <wp:docPr id="2052727699" name="Picture 2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mage"/>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513563" cy="460467"/>
                    </a:xfrm>
                    <a:prstGeom prst="rect">
                      <a:avLst/>
                    </a:prstGeom>
                    <a:noFill/>
                    <a:ln>
                      <a:noFill/>
                    </a:ln>
                  </pic:spPr>
                </pic:pic>
              </a:graphicData>
            </a:graphic>
          </wp:inline>
        </w:drawing>
      </w:r>
      <w:r>
        <w:rPr>
          <w:lang w:val="en-GB"/>
        </w:rPr>
        <w:t xml:space="preserve"> </w:t>
      </w:r>
    </w:p>
    <w:p w14:paraId="52B7C029" w14:textId="77777777" w:rsidR="00657236" w:rsidRPr="00180B8D" w:rsidRDefault="00D655E7">
      <w:pPr>
        <w:pStyle w:val="P68B1DB1-Normal4"/>
        <w:spacing w:after="0" w:line="240" w:lineRule="auto"/>
        <w:ind w:firstLine="567"/>
        <w:jc w:val="both"/>
        <w:rPr>
          <w:lang w:val="en-GB"/>
        </w:rPr>
      </w:pPr>
      <w:r w:rsidRPr="00180B8D">
        <w:rPr>
          <w:lang w:val="en-GB"/>
        </w:rPr>
        <w:t xml:space="preserve"> a = </w:t>
      </w:r>
      <w:proofErr w:type="gramStart"/>
      <w:r w:rsidRPr="00180B8D">
        <w:rPr>
          <w:lang w:val="en-GB"/>
        </w:rPr>
        <w:t>1,4;</w:t>
      </w:r>
      <w:proofErr w:type="gramEnd"/>
    </w:p>
    <w:p w14:paraId="6E53CCF8" w14:textId="77777777" w:rsidR="00657236" w:rsidRPr="00180B8D" w:rsidRDefault="00D655E7">
      <w:pPr>
        <w:pStyle w:val="P68B1DB1-Normal2"/>
        <w:spacing w:after="0" w:line="240" w:lineRule="auto"/>
        <w:ind w:firstLine="567"/>
        <w:jc w:val="both"/>
        <w:rPr>
          <w:lang w:val="en-GB"/>
        </w:rPr>
      </w:pPr>
      <w:r w:rsidRPr="00180B8D">
        <w:rPr>
          <w:i/>
          <w:lang w:val="en-GB"/>
        </w:rPr>
        <w:t> p =</w:t>
      </w:r>
      <w:r w:rsidRPr="00180B8D">
        <w:rPr>
          <w:lang w:val="en-GB"/>
        </w:rPr>
        <w:t xml:space="preserve"> </w:t>
      </w:r>
      <w:proofErr w:type="gramStart"/>
      <w:r w:rsidRPr="00180B8D">
        <w:rPr>
          <w:lang w:val="en-GB"/>
        </w:rPr>
        <w:t>0,5;</w:t>
      </w:r>
      <w:proofErr w:type="gramEnd"/>
    </w:p>
    <w:p w14:paraId="1FEB2B66" w14:textId="2F33C14E" w:rsidR="00657236" w:rsidRPr="00180B8D" w:rsidRDefault="00D655E7">
      <w:pPr>
        <w:pStyle w:val="P68B1DB1-Normal2"/>
        <w:spacing w:after="0" w:line="240" w:lineRule="auto"/>
        <w:ind w:firstLine="567"/>
        <w:jc w:val="both"/>
        <w:rPr>
          <w:lang w:val="en-GB"/>
        </w:rPr>
      </w:pPr>
      <w:r w:rsidRPr="00180B8D">
        <w:rPr>
          <w:lang w:val="en-GB"/>
        </w:rPr>
        <w:t xml:space="preserve"> C = the index that denotes all counterparties for which the bank calculates the own funds requirements for CVA risk using the </w:t>
      </w:r>
      <w:r w:rsidR="006A549D">
        <w:rPr>
          <w:lang w:val="en-GB"/>
        </w:rPr>
        <w:t>b</w:t>
      </w:r>
      <w:r w:rsidRPr="00180B8D">
        <w:rPr>
          <w:lang w:val="en-GB"/>
        </w:rPr>
        <w:t xml:space="preserve">asic </w:t>
      </w:r>
      <w:proofErr w:type="gramStart"/>
      <w:r w:rsidR="006A549D">
        <w:rPr>
          <w:lang w:val="en-GB"/>
        </w:rPr>
        <w:t>a</w:t>
      </w:r>
      <w:r w:rsidRPr="00180B8D">
        <w:rPr>
          <w:lang w:val="en-GB"/>
        </w:rPr>
        <w:t>pproach;</w:t>
      </w:r>
      <w:proofErr w:type="gramEnd"/>
    </w:p>
    <w:p w14:paraId="1BECB1B6" w14:textId="23E23A52" w:rsidR="00657236" w:rsidRPr="00180B8D" w:rsidRDefault="00D655E7">
      <w:pPr>
        <w:pStyle w:val="P68B1DB1-Normal2"/>
        <w:spacing w:after="0" w:line="240" w:lineRule="auto"/>
        <w:ind w:firstLine="567"/>
        <w:jc w:val="both"/>
        <w:rPr>
          <w:lang w:val="en-GB"/>
        </w:rPr>
      </w:pPr>
      <w:r w:rsidRPr="00180B8D">
        <w:rPr>
          <w:lang w:val="en-GB"/>
        </w:rPr>
        <w:t xml:space="preserve"> NS = the index that denotes all netting sets with a given counterparty for which the bank calculates the own funds requirements for CVA risk using the </w:t>
      </w:r>
      <w:r w:rsidR="006A549D">
        <w:rPr>
          <w:lang w:val="en-GB"/>
        </w:rPr>
        <w:t>b</w:t>
      </w:r>
      <w:r w:rsidRPr="00180B8D">
        <w:rPr>
          <w:lang w:val="en-GB"/>
        </w:rPr>
        <w:t xml:space="preserve">asic </w:t>
      </w:r>
      <w:proofErr w:type="gramStart"/>
      <w:r w:rsidR="006A549D">
        <w:rPr>
          <w:lang w:val="en-GB"/>
        </w:rPr>
        <w:t>a</w:t>
      </w:r>
      <w:r w:rsidRPr="00180B8D">
        <w:rPr>
          <w:lang w:val="en-GB"/>
        </w:rPr>
        <w:t>pproach;</w:t>
      </w:r>
      <w:proofErr w:type="gramEnd"/>
    </w:p>
    <w:p w14:paraId="626A5BCC" w14:textId="6B73B826" w:rsidR="00657236" w:rsidRPr="00180B8D" w:rsidRDefault="00D655E7">
      <w:pPr>
        <w:pStyle w:val="P68B1DB1-Normal2"/>
        <w:spacing w:after="0" w:line="240" w:lineRule="auto"/>
        <w:ind w:firstLine="567"/>
        <w:jc w:val="both"/>
        <w:rPr>
          <w:lang w:val="en-GB"/>
        </w:rPr>
      </w:pPr>
      <w:r w:rsidRPr="00180B8D">
        <w:rPr>
          <w:lang w:val="en-GB"/>
        </w:rPr>
        <w:t xml:space="preserve"> H = the index that denotes all single-name instruments recognised as eligible hedges in accordance with paragraphs 119–124 for a given counterparty for which the bank calculates the own funds requirements for CVA risk using the </w:t>
      </w:r>
      <w:r w:rsidR="006A549D">
        <w:rPr>
          <w:lang w:val="en-GB"/>
        </w:rPr>
        <w:t>b</w:t>
      </w:r>
      <w:r w:rsidRPr="00180B8D">
        <w:rPr>
          <w:lang w:val="en-GB"/>
        </w:rPr>
        <w:t xml:space="preserve">asic </w:t>
      </w:r>
      <w:proofErr w:type="gramStart"/>
      <w:r w:rsidR="006A549D">
        <w:rPr>
          <w:lang w:val="en-GB"/>
        </w:rPr>
        <w:t>a</w:t>
      </w:r>
      <w:r w:rsidRPr="00180B8D">
        <w:rPr>
          <w:lang w:val="en-GB"/>
        </w:rPr>
        <w:t>pproach;</w:t>
      </w:r>
      <w:proofErr w:type="gramEnd"/>
    </w:p>
    <w:p w14:paraId="2550824B" w14:textId="58C6E648" w:rsidR="00657236" w:rsidRPr="00180B8D" w:rsidRDefault="00D655E7">
      <w:pPr>
        <w:pStyle w:val="P68B1DB1-Normal2"/>
        <w:spacing w:after="0" w:line="240" w:lineRule="auto"/>
        <w:ind w:firstLine="567"/>
        <w:jc w:val="both"/>
        <w:rPr>
          <w:lang w:val="en-GB"/>
        </w:rPr>
      </w:pPr>
      <w:r w:rsidRPr="00180B8D">
        <w:rPr>
          <w:lang w:val="en-GB"/>
        </w:rPr>
        <w:t xml:space="preserve"> I = the index that denotes all index instruments recognised as eligible hedges in accordance with paragraphs 119–124 for all counterparties for which the bank calculates the own funds requirements for CVA risk using the </w:t>
      </w:r>
      <w:r w:rsidR="006A549D">
        <w:rPr>
          <w:lang w:val="en-GB"/>
        </w:rPr>
        <w:t>b</w:t>
      </w:r>
      <w:r w:rsidRPr="00180B8D">
        <w:rPr>
          <w:lang w:val="en-GB"/>
        </w:rPr>
        <w:t xml:space="preserve">asic </w:t>
      </w:r>
      <w:proofErr w:type="gramStart"/>
      <w:r w:rsidR="006A549D">
        <w:rPr>
          <w:lang w:val="en-GB"/>
        </w:rPr>
        <w:t>a</w:t>
      </w:r>
      <w:r w:rsidRPr="00180B8D">
        <w:rPr>
          <w:lang w:val="en-GB"/>
        </w:rPr>
        <w:t>pproach;</w:t>
      </w:r>
      <w:proofErr w:type="gramEnd"/>
    </w:p>
    <w:p w14:paraId="1CA34147" w14:textId="4B379A51" w:rsidR="00657236" w:rsidRPr="00180B8D" w:rsidRDefault="00D655E7">
      <w:pPr>
        <w:pStyle w:val="P68B1DB1-Normal2"/>
        <w:spacing w:after="0" w:line="240" w:lineRule="auto"/>
        <w:ind w:firstLine="567"/>
        <w:jc w:val="both"/>
        <w:rPr>
          <w:lang w:val="en-GB"/>
        </w:rPr>
      </w:pPr>
      <w:r w:rsidRPr="00180B8D">
        <w:rPr>
          <w:lang w:val="en-GB"/>
        </w:rPr>
        <w:t> </w:t>
      </w:r>
      <w:proofErr w:type="spellStart"/>
      <w:r w:rsidRPr="00180B8D">
        <w:rPr>
          <w:lang w:val="en-GB"/>
        </w:rPr>
        <w:t>RW</w:t>
      </w:r>
      <w:r w:rsidRPr="00180B8D">
        <w:rPr>
          <w:vertAlign w:val="subscript"/>
          <w:lang w:val="en-GB"/>
        </w:rPr>
        <w:t>c</w:t>
      </w:r>
      <w:proofErr w:type="spellEnd"/>
      <w:r w:rsidRPr="00180B8D">
        <w:rPr>
          <w:lang w:val="en-GB"/>
        </w:rPr>
        <w:t xml:space="preserve"> = </w:t>
      </w:r>
      <w:r w:rsidR="006A549D">
        <w:rPr>
          <w:lang w:val="en-GB"/>
        </w:rPr>
        <w:t xml:space="preserve">the </w:t>
      </w:r>
      <w:r w:rsidRPr="00180B8D">
        <w:rPr>
          <w:lang w:val="en-GB"/>
        </w:rPr>
        <w:t xml:space="preserve">risk weight applicable to counterparty c; counterparty c is mapped to one of the risk weights </w:t>
      </w:r>
      <w:r w:rsidR="006A549D">
        <w:rPr>
          <w:lang w:val="en-GB"/>
        </w:rPr>
        <w:t>based on</w:t>
      </w:r>
      <w:r w:rsidRPr="00180B8D">
        <w:rPr>
          <w:lang w:val="en-GB"/>
        </w:rPr>
        <w:t xml:space="preserve"> a combination of </w:t>
      </w:r>
      <w:r w:rsidR="006A549D">
        <w:rPr>
          <w:lang w:val="en-GB"/>
        </w:rPr>
        <w:t>sector</w:t>
      </w:r>
      <w:r w:rsidRPr="00180B8D">
        <w:rPr>
          <w:lang w:val="en-GB"/>
        </w:rPr>
        <w:t xml:space="preserve"> and credit quality and determined in accordance with Table 9.</w:t>
      </w:r>
    </w:p>
    <w:p w14:paraId="3E0C05F4" w14:textId="77777777" w:rsidR="00657236" w:rsidRPr="00180B8D" w:rsidRDefault="00D655E7">
      <w:pPr>
        <w:pStyle w:val="P68B1DB1-Normal2"/>
        <w:spacing w:after="0" w:line="240" w:lineRule="auto"/>
        <w:ind w:firstLine="567"/>
        <w:jc w:val="both"/>
        <w:rPr>
          <w:lang w:val="en-GB"/>
        </w:rPr>
      </w:pPr>
      <w:r w:rsidRPr="00180B8D">
        <w:rPr>
          <w:lang w:val="en-GB"/>
        </w:rPr>
        <w:t> </w:t>
      </w:r>
    </w:p>
    <w:p w14:paraId="6E4D2E37" w14:textId="607B5A45" w:rsidR="00657236" w:rsidRPr="00180B8D" w:rsidRDefault="006A549D">
      <w:pPr>
        <w:pStyle w:val="P68B1DB1-Normal2"/>
        <w:spacing w:after="0" w:line="240" w:lineRule="auto"/>
        <w:ind w:firstLine="567"/>
        <w:jc w:val="both"/>
        <w:rPr>
          <w:lang w:val="en-GB"/>
        </w:rPr>
      </w:pPr>
      <w:r w:rsidRPr="006A549D">
        <w:t>Where </w:t>
      </w:r>
      <w:r w:rsidRPr="00180B8D">
        <w:rPr>
          <w:lang w:val="en-GB"/>
        </w:rPr>
        <w:t xml:space="preserve">there are no external ratings for a </w:t>
      </w:r>
      <w:r w:rsidRPr="006A549D">
        <w:t>specific </w:t>
      </w:r>
      <w:r w:rsidRPr="00180B8D">
        <w:rPr>
          <w:lang w:val="en-GB"/>
        </w:rPr>
        <w:t xml:space="preserve">counterparty, banks may, subject to the approval of the National Bank of Moldova, </w:t>
      </w:r>
      <w:r>
        <w:rPr>
          <w:lang w:val="en-GB"/>
        </w:rPr>
        <w:t>map</w:t>
      </w:r>
      <w:r w:rsidRPr="00180B8D">
        <w:rPr>
          <w:lang w:val="en-GB"/>
        </w:rPr>
        <w:t xml:space="preserve"> the internal rating with a corresponding external rating and assign a risk weight corresponding to </w:t>
      </w:r>
      <w:r>
        <w:rPr>
          <w:lang w:val="en-GB"/>
        </w:rPr>
        <w:t xml:space="preserve">either </w:t>
      </w:r>
      <w:r w:rsidRPr="00180B8D">
        <w:rPr>
          <w:lang w:val="en-GB"/>
        </w:rPr>
        <w:t>credit quality step 1 to 3 or credit quality step 4 to 6; otherwise</w:t>
      </w:r>
      <w:r>
        <w:rPr>
          <w:lang w:val="en-GB"/>
        </w:rPr>
        <w:t>,</w:t>
      </w:r>
      <w:r w:rsidRPr="00180B8D">
        <w:rPr>
          <w:lang w:val="en-GB"/>
        </w:rPr>
        <w:t xml:space="preserve"> risk weights for unrated exposures shall be applied.</w:t>
      </w:r>
    </w:p>
    <w:p w14:paraId="21F2E640" w14:textId="12269D7D" w:rsidR="00657236" w:rsidRPr="00180B8D" w:rsidRDefault="00D655E7">
      <w:pPr>
        <w:pStyle w:val="P68B1DB1-Normal2"/>
        <w:spacing w:after="0" w:line="240" w:lineRule="auto"/>
        <w:ind w:firstLine="567"/>
        <w:jc w:val="both"/>
        <w:rPr>
          <w:lang w:val="en-GB"/>
        </w:rPr>
      </w:pPr>
      <w:r w:rsidRPr="00180B8D">
        <w:rPr>
          <w:i/>
          <w:lang w:val="en-GB"/>
        </w:rPr>
        <w:t>M</w:t>
      </w:r>
      <w:r w:rsidRPr="00180B8D">
        <w:rPr>
          <w:i/>
          <w:vertAlign w:val="superscript"/>
          <w:lang w:val="en-GB"/>
        </w:rPr>
        <w:t xml:space="preserve"> </w:t>
      </w:r>
      <w:proofErr w:type="spellStart"/>
      <w:r w:rsidRPr="00180B8D">
        <w:rPr>
          <w:i/>
          <w:vertAlign w:val="superscript"/>
          <w:lang w:val="en-GB"/>
        </w:rPr>
        <w:t>c</w:t>
      </w:r>
      <w:r w:rsidRPr="00180B8D">
        <w:rPr>
          <w:i/>
          <w:vertAlign w:val="subscript"/>
          <w:lang w:val="en-GB"/>
        </w:rPr>
        <w:t>NC</w:t>
      </w:r>
      <w:proofErr w:type="spellEnd"/>
      <w:r w:rsidRPr="00180B8D">
        <w:rPr>
          <w:lang w:val="en-GB"/>
        </w:rPr>
        <w:t xml:space="preserve"> = effective maturity of the netting set NS with counterparty </w:t>
      </w:r>
      <w:proofErr w:type="gramStart"/>
      <w:r w:rsidRPr="00180B8D">
        <w:rPr>
          <w:lang w:val="en-GB"/>
        </w:rPr>
        <w:t>c;</w:t>
      </w:r>
      <w:proofErr w:type="gramEnd"/>
      <w:r w:rsidR="006A549D">
        <w:rPr>
          <w:lang w:val="en-GB"/>
        </w:rPr>
        <w:t xml:space="preserve"> </w:t>
      </w:r>
    </w:p>
    <w:p w14:paraId="7E77D8DF" w14:textId="3A470C55" w:rsidR="00657236" w:rsidRPr="00180B8D" w:rsidRDefault="00D655E7">
      <w:pPr>
        <w:pStyle w:val="P68B1DB1-Normal2"/>
        <w:spacing w:after="0" w:line="240" w:lineRule="auto"/>
        <w:ind w:firstLine="567"/>
        <w:jc w:val="both"/>
        <w:rPr>
          <w:lang w:val="en-GB"/>
        </w:rPr>
      </w:pPr>
      <w:r w:rsidRPr="00180B8D">
        <w:rPr>
          <w:i/>
          <w:lang w:val="en-GB"/>
        </w:rPr>
        <w:t>M</w:t>
      </w:r>
      <w:r w:rsidRPr="00180B8D">
        <w:rPr>
          <w:i/>
          <w:vertAlign w:val="superscript"/>
          <w:lang w:val="en-GB"/>
        </w:rPr>
        <w:t xml:space="preserve"> </w:t>
      </w:r>
      <w:proofErr w:type="spellStart"/>
      <w:r w:rsidRPr="00180B8D">
        <w:rPr>
          <w:i/>
          <w:vertAlign w:val="superscript"/>
          <w:lang w:val="en-GB"/>
        </w:rPr>
        <w:t>c</w:t>
      </w:r>
      <w:r w:rsidRPr="00180B8D">
        <w:rPr>
          <w:i/>
          <w:vertAlign w:val="subscript"/>
          <w:lang w:val="en-GB"/>
        </w:rPr>
        <w:t>NS</w:t>
      </w:r>
      <w:proofErr w:type="spellEnd"/>
      <w:r w:rsidRPr="00180B8D">
        <w:rPr>
          <w:lang w:val="en-GB"/>
        </w:rPr>
        <w:t xml:space="preserve"> = shall be calculated in accordance with the </w:t>
      </w:r>
      <w:r w:rsidR="006147EF">
        <w:rPr>
          <w:lang w:val="en-GB"/>
        </w:rPr>
        <w:t xml:space="preserve">internal </w:t>
      </w:r>
      <w:proofErr w:type="gramStart"/>
      <w:r w:rsidR="006147EF">
        <w:rPr>
          <w:lang w:val="en-GB"/>
        </w:rPr>
        <w:t>rating based</w:t>
      </w:r>
      <w:proofErr w:type="gramEnd"/>
      <w:r w:rsidRPr="00180B8D">
        <w:rPr>
          <w:lang w:val="en-GB"/>
        </w:rPr>
        <w:t xml:space="preserve"> </w:t>
      </w:r>
      <w:r w:rsidR="006147EF">
        <w:rPr>
          <w:lang w:val="en-GB"/>
        </w:rPr>
        <w:t>a</w:t>
      </w:r>
      <w:r w:rsidRPr="00180B8D">
        <w:rPr>
          <w:lang w:val="en-GB"/>
        </w:rPr>
        <w:t>pproach; however, for t</w:t>
      </w:r>
      <w:r w:rsidR="006147EF">
        <w:rPr>
          <w:lang w:val="en-GB"/>
        </w:rPr>
        <w:t>hat</w:t>
      </w:r>
      <w:r w:rsidRPr="00180B8D">
        <w:rPr>
          <w:lang w:val="en-GB"/>
        </w:rPr>
        <w:t xml:space="preserve"> calculation, </w:t>
      </w:r>
      <w:r w:rsidRPr="00180B8D">
        <w:rPr>
          <w:i/>
          <w:lang w:val="en-GB"/>
        </w:rPr>
        <w:t>M</w:t>
      </w:r>
      <w:r w:rsidRPr="00180B8D">
        <w:rPr>
          <w:i/>
          <w:vertAlign w:val="superscript"/>
          <w:lang w:val="en-GB"/>
        </w:rPr>
        <w:t xml:space="preserve"> </w:t>
      </w:r>
      <w:proofErr w:type="spellStart"/>
      <w:r w:rsidRPr="00180B8D">
        <w:rPr>
          <w:i/>
          <w:vertAlign w:val="superscript"/>
          <w:lang w:val="en-GB"/>
        </w:rPr>
        <w:t>c</w:t>
      </w:r>
      <w:r w:rsidRPr="00180B8D">
        <w:rPr>
          <w:i/>
          <w:vertAlign w:val="subscript"/>
          <w:lang w:val="en-GB"/>
        </w:rPr>
        <w:t>NS</w:t>
      </w:r>
      <w:proofErr w:type="spellEnd"/>
      <w:r w:rsidRPr="00180B8D">
        <w:rPr>
          <w:lang w:val="en-GB"/>
        </w:rPr>
        <w:t xml:space="preserve"> </w:t>
      </w:r>
      <w:r w:rsidR="006147EF">
        <w:rPr>
          <w:lang w:val="en-GB"/>
        </w:rPr>
        <w:t>shall</w:t>
      </w:r>
      <w:r w:rsidRPr="00180B8D">
        <w:rPr>
          <w:lang w:val="en-GB"/>
        </w:rPr>
        <w:t xml:space="preserve"> not</w:t>
      </w:r>
      <w:r w:rsidR="006147EF">
        <w:rPr>
          <w:lang w:val="en-GB"/>
        </w:rPr>
        <w:t xml:space="preserve"> be</w:t>
      </w:r>
      <w:r w:rsidRPr="00180B8D">
        <w:rPr>
          <w:lang w:val="en-GB"/>
        </w:rPr>
        <w:t xml:space="preserve"> capped at five years</w:t>
      </w:r>
      <w:r w:rsidR="006147EF">
        <w:rPr>
          <w:lang w:val="en-GB"/>
        </w:rPr>
        <w:t>,</w:t>
      </w:r>
      <w:r w:rsidRPr="00180B8D">
        <w:rPr>
          <w:lang w:val="en-GB"/>
        </w:rPr>
        <w:t xml:space="preserve"> but at the longest </w:t>
      </w:r>
      <w:r w:rsidR="006147EF" w:rsidRPr="00180B8D">
        <w:rPr>
          <w:lang w:val="en-GB"/>
        </w:rPr>
        <w:t xml:space="preserve">contractual </w:t>
      </w:r>
      <w:r w:rsidRPr="00180B8D">
        <w:rPr>
          <w:lang w:val="en-GB"/>
        </w:rPr>
        <w:t>remaining maturity in the netting set;</w:t>
      </w:r>
    </w:p>
    <w:p w14:paraId="56C7E8FC" w14:textId="01C5D5A3" w:rsidR="00657236" w:rsidRPr="00180B8D" w:rsidRDefault="00D655E7">
      <w:pPr>
        <w:pStyle w:val="P68B1DB1-Normal2"/>
        <w:spacing w:after="0" w:line="240" w:lineRule="auto"/>
        <w:ind w:firstLine="567"/>
        <w:jc w:val="both"/>
        <w:rPr>
          <w:lang w:val="en-GB"/>
        </w:rPr>
      </w:pPr>
      <w:r w:rsidRPr="00180B8D">
        <w:rPr>
          <w:i/>
          <w:lang w:val="en-GB"/>
        </w:rPr>
        <w:t>EAD</w:t>
      </w:r>
      <w:r w:rsidRPr="00180B8D">
        <w:rPr>
          <w:i/>
          <w:vertAlign w:val="superscript"/>
          <w:lang w:val="en-GB"/>
        </w:rPr>
        <w:t xml:space="preserve"> </w:t>
      </w:r>
      <w:proofErr w:type="spellStart"/>
      <w:r w:rsidRPr="00180B8D">
        <w:rPr>
          <w:i/>
          <w:vertAlign w:val="superscript"/>
          <w:lang w:val="en-GB"/>
        </w:rPr>
        <w:t>c</w:t>
      </w:r>
      <w:r w:rsidRPr="00180B8D">
        <w:rPr>
          <w:i/>
          <w:vertAlign w:val="subscript"/>
          <w:lang w:val="en-GB"/>
        </w:rPr>
        <w:t>NS</w:t>
      </w:r>
      <w:proofErr w:type="spellEnd"/>
      <w:r w:rsidRPr="00180B8D">
        <w:rPr>
          <w:lang w:val="en-GB"/>
        </w:rPr>
        <w:t xml:space="preserve"> = the </w:t>
      </w:r>
      <w:proofErr w:type="spellStart"/>
      <w:r w:rsidR="006147EF" w:rsidRPr="00180B8D">
        <w:rPr>
          <w:lang w:val="en-GB"/>
        </w:rPr>
        <w:t>the</w:t>
      </w:r>
      <w:proofErr w:type="spellEnd"/>
      <w:r w:rsidR="006147EF" w:rsidRPr="00180B8D">
        <w:rPr>
          <w:lang w:val="en-GB"/>
        </w:rPr>
        <w:t xml:space="preserve"> counterparty credit risk </w:t>
      </w:r>
      <w:r w:rsidRPr="00180B8D">
        <w:rPr>
          <w:lang w:val="en-GB"/>
        </w:rPr>
        <w:t>exposure value of the netting set NS with counterparty c, including the effect of collateral in accordance with the methods laid down in the Regulation on the treatment of counterparty credit risk for banks, approved by the Decision of the Executive Board of the National Bank of Moldova No</w:t>
      </w:r>
      <w:r w:rsidR="006147EF">
        <w:rPr>
          <w:lang w:val="en-GB"/>
        </w:rPr>
        <w:t xml:space="preserve"> </w:t>
      </w:r>
      <w:r w:rsidRPr="00180B8D">
        <w:rPr>
          <w:lang w:val="en-GB"/>
        </w:rPr>
        <w:t>220/2025 (hereinafter – Regulation No</w:t>
      </w:r>
      <w:r w:rsidR="006147EF">
        <w:rPr>
          <w:lang w:val="en-GB"/>
        </w:rPr>
        <w:t xml:space="preserve"> </w:t>
      </w:r>
      <w:r w:rsidRPr="00180B8D">
        <w:rPr>
          <w:lang w:val="en-GB"/>
        </w:rPr>
        <w:lastRenderedPageBreak/>
        <w:t>220/2025 on the treatment of counterparty credit risk for banks) as applicable for the calculation of own funds requirements for counterparty credit risk ref</w:t>
      </w:r>
      <w:r w:rsidRPr="00180B8D">
        <w:rPr>
          <w:lang w:val="en-GB"/>
        </w:rPr>
        <w:t>erred to in the regulatory provisions on banks’ own funds and capital requirements;</w:t>
      </w:r>
    </w:p>
    <w:p w14:paraId="4E41DCB2" w14:textId="1A8608F8" w:rsidR="00657236" w:rsidRPr="00180B8D" w:rsidRDefault="00D655E7">
      <w:pPr>
        <w:pStyle w:val="P68B1DB1-Normal2"/>
        <w:spacing w:after="0" w:line="240" w:lineRule="auto"/>
        <w:ind w:firstLine="567"/>
        <w:jc w:val="both"/>
        <w:rPr>
          <w:lang w:val="en-GB"/>
        </w:rPr>
      </w:pPr>
      <w:r w:rsidRPr="00180B8D">
        <w:rPr>
          <w:i/>
          <w:lang w:val="en-GB"/>
        </w:rPr>
        <w:t>DF</w:t>
      </w:r>
      <w:r w:rsidRPr="00180B8D">
        <w:rPr>
          <w:i/>
          <w:vertAlign w:val="superscript"/>
          <w:lang w:val="en-GB"/>
        </w:rPr>
        <w:t xml:space="preserve"> </w:t>
      </w:r>
      <w:proofErr w:type="spellStart"/>
      <w:r w:rsidRPr="00180B8D">
        <w:rPr>
          <w:i/>
          <w:vertAlign w:val="superscript"/>
          <w:lang w:val="en-GB"/>
        </w:rPr>
        <w:t>c</w:t>
      </w:r>
      <w:r w:rsidRPr="00180B8D">
        <w:rPr>
          <w:i/>
          <w:vertAlign w:val="subscript"/>
          <w:lang w:val="en-GB"/>
        </w:rPr>
        <w:t>NS</w:t>
      </w:r>
      <w:proofErr w:type="spellEnd"/>
      <w:r w:rsidRPr="00180B8D">
        <w:rPr>
          <w:lang w:val="en-GB"/>
        </w:rPr>
        <w:t xml:space="preserve"> = supervisory discount factor for </w:t>
      </w:r>
      <w:r w:rsidR="00905F6F">
        <w:rPr>
          <w:lang w:val="en-GB"/>
        </w:rPr>
        <w:t xml:space="preserve">the </w:t>
      </w:r>
      <w:r w:rsidRPr="00180B8D">
        <w:rPr>
          <w:lang w:val="en-GB"/>
        </w:rPr>
        <w:t>netting set NS with counterparty c.</w:t>
      </w:r>
    </w:p>
    <w:p w14:paraId="4FBC67A3" w14:textId="5F6F28BF" w:rsidR="00657236" w:rsidRPr="00180B8D" w:rsidRDefault="00D655E7">
      <w:pPr>
        <w:pStyle w:val="P68B1DB1-Normal2"/>
        <w:spacing w:after="0" w:line="240" w:lineRule="auto"/>
        <w:ind w:firstLine="567"/>
        <w:jc w:val="both"/>
        <w:rPr>
          <w:lang w:val="en-GB"/>
        </w:rPr>
      </w:pPr>
      <w:r w:rsidRPr="00180B8D">
        <w:rPr>
          <w:lang w:val="en-GB"/>
        </w:rPr>
        <w:t xml:space="preserve">For a bank using the internal model method set out in Regulation No 220/2025 on the treatment of counterparty credit risk for banks, the discount factor required by supervisory authorities </w:t>
      </w:r>
      <w:r w:rsidR="00905F6F">
        <w:rPr>
          <w:lang w:val="en-GB"/>
        </w:rPr>
        <w:t>shall be</w:t>
      </w:r>
      <w:r w:rsidRPr="00180B8D">
        <w:rPr>
          <w:lang w:val="en-GB"/>
        </w:rPr>
        <w:t xml:space="preserve"> set at 1; </w:t>
      </w:r>
      <w:r w:rsidR="00905F6F" w:rsidRPr="00180B8D">
        <w:rPr>
          <w:lang w:val="en-GB"/>
        </w:rPr>
        <w:t>otherwise,</w:t>
      </w:r>
      <w:r w:rsidRPr="00180B8D">
        <w:rPr>
          <w:lang w:val="en-GB"/>
        </w:rPr>
        <w:t xml:space="preserve"> the supervisory discount factor shall be calculated as follows:</w:t>
      </w:r>
    </w:p>
    <w:p w14:paraId="09E0C34A" w14:textId="77777777" w:rsidR="00657236" w:rsidRPr="00180B8D" w:rsidRDefault="00D655E7">
      <w:pPr>
        <w:pStyle w:val="P68B1DB1-Normal2"/>
        <w:spacing w:after="0" w:line="240" w:lineRule="auto"/>
        <w:ind w:firstLine="567"/>
        <w:jc w:val="both"/>
        <w:rPr>
          <w:lang w:val="en-GB"/>
        </w:rPr>
      </w:pPr>
      <w:r w:rsidRPr="00180B8D">
        <w:rPr>
          <w:lang w:val="en-GB"/>
        </w:rPr>
        <w:t> </w:t>
      </w:r>
    </w:p>
    <w:p w14:paraId="0EB0B704" w14:textId="3BDDF961" w:rsidR="00657236" w:rsidRPr="00180B8D" w:rsidRDefault="00D655E7">
      <w:pPr>
        <w:pStyle w:val="P68B1DB1-Normal2"/>
        <w:spacing w:after="0" w:line="240" w:lineRule="auto"/>
        <w:jc w:val="center"/>
        <w:rPr>
          <w:lang w:val="en-GB"/>
        </w:rPr>
      </w:pPr>
      <w:r w:rsidRPr="00180B8D">
        <w:rPr>
          <w:noProof/>
          <w:lang w:val="en-GB"/>
        </w:rPr>
        <w:drawing>
          <wp:inline distT="0" distB="0" distL="0" distR="0" wp14:anchorId="1C0E05CD" wp14:editId="1250ABDD">
            <wp:extent cx="1449070" cy="6902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449070" cy="690245"/>
                    </a:xfrm>
                    <a:prstGeom prst="rect">
                      <a:avLst/>
                    </a:prstGeom>
                    <a:noFill/>
                    <a:ln>
                      <a:noFill/>
                    </a:ln>
                  </pic:spPr>
                </pic:pic>
              </a:graphicData>
            </a:graphic>
          </wp:inline>
        </w:drawing>
      </w:r>
    </w:p>
    <w:p w14:paraId="2C69D2B8" w14:textId="5BD4EB22" w:rsidR="00657236" w:rsidRPr="00180B8D" w:rsidRDefault="00D655E7">
      <w:pPr>
        <w:pStyle w:val="P68B1DB1-Normal2"/>
        <w:spacing w:after="0" w:line="240" w:lineRule="auto"/>
        <w:ind w:firstLine="567"/>
        <w:jc w:val="both"/>
        <w:rPr>
          <w:lang w:val="en-GB"/>
        </w:rPr>
      </w:pPr>
      <w:proofErr w:type="spellStart"/>
      <w:r w:rsidRPr="00180B8D">
        <w:rPr>
          <w:i/>
          <w:lang w:val="en-GB"/>
        </w:rPr>
        <w:t>r</w:t>
      </w:r>
      <w:r w:rsidRPr="00180B8D">
        <w:rPr>
          <w:i/>
          <w:vertAlign w:val="subscript"/>
          <w:lang w:val="en-GB"/>
        </w:rPr>
        <w:t>hc</w:t>
      </w:r>
      <w:proofErr w:type="spellEnd"/>
      <w:r w:rsidRPr="00180B8D">
        <w:rPr>
          <w:lang w:val="en-GB"/>
        </w:rPr>
        <w:t xml:space="preserve"> = the supervisory correlation factor determined in accordance with Table 10 between </w:t>
      </w:r>
      <w:r w:rsidR="00905F6F" w:rsidRPr="00180B8D">
        <w:rPr>
          <w:lang w:val="en-GB"/>
        </w:rPr>
        <w:t xml:space="preserve">credit spread risk </w:t>
      </w:r>
      <w:r w:rsidR="00905F6F">
        <w:rPr>
          <w:lang w:val="en-GB"/>
        </w:rPr>
        <w:t xml:space="preserve">of </w:t>
      </w:r>
      <w:r w:rsidRPr="00180B8D">
        <w:rPr>
          <w:lang w:val="en-GB"/>
        </w:rPr>
        <w:t xml:space="preserve">counterparty c and the credit spread risk of a single-name instrument recognised as </w:t>
      </w:r>
      <w:r w:rsidR="00905F6F">
        <w:rPr>
          <w:lang w:val="en-GB"/>
        </w:rPr>
        <w:t xml:space="preserve">an </w:t>
      </w:r>
      <w:r w:rsidRPr="00180B8D">
        <w:rPr>
          <w:lang w:val="en-GB"/>
        </w:rPr>
        <w:t xml:space="preserve">eligible hedge h for counterparty </w:t>
      </w:r>
      <w:proofErr w:type="gramStart"/>
      <w:r w:rsidRPr="00180B8D">
        <w:rPr>
          <w:lang w:val="en-GB"/>
        </w:rPr>
        <w:t>c;</w:t>
      </w:r>
      <w:proofErr w:type="gramEnd"/>
    </w:p>
    <w:p w14:paraId="72C5B482" w14:textId="77777777" w:rsidR="00657236" w:rsidRPr="00180B8D" w:rsidRDefault="00D655E7">
      <w:pPr>
        <w:pStyle w:val="P68B1DB1-Normal2"/>
        <w:spacing w:after="0" w:line="240" w:lineRule="auto"/>
        <w:ind w:firstLine="567"/>
        <w:jc w:val="both"/>
        <w:rPr>
          <w:lang w:val="en-GB"/>
        </w:rPr>
      </w:pPr>
      <w:r w:rsidRPr="00180B8D">
        <w:rPr>
          <w:i/>
          <w:lang w:val="en-GB"/>
        </w:rPr>
        <w:t>M</w:t>
      </w:r>
      <w:r w:rsidRPr="00180B8D">
        <w:rPr>
          <w:i/>
          <w:vertAlign w:val="subscript"/>
          <w:lang w:val="en-GB"/>
        </w:rPr>
        <w:t xml:space="preserve"> </w:t>
      </w:r>
      <w:proofErr w:type="spellStart"/>
      <w:r w:rsidRPr="00180B8D">
        <w:rPr>
          <w:i/>
          <w:vertAlign w:val="subscript"/>
          <w:lang w:val="en-GB"/>
        </w:rPr>
        <w:t>h</w:t>
      </w:r>
      <w:r w:rsidRPr="00180B8D">
        <w:rPr>
          <w:i/>
          <w:vertAlign w:val="superscript"/>
          <w:lang w:val="en-GB"/>
        </w:rPr>
        <w:t>SN</w:t>
      </w:r>
      <w:proofErr w:type="spellEnd"/>
      <w:r w:rsidRPr="00180B8D">
        <w:rPr>
          <w:lang w:val="en-GB"/>
        </w:rPr>
        <w:t xml:space="preserve"> = the residual maturity of a single-name instrument recognised as an eligible </w:t>
      </w:r>
      <w:proofErr w:type="gramStart"/>
      <w:r w:rsidRPr="00180B8D">
        <w:rPr>
          <w:lang w:val="en-GB"/>
        </w:rPr>
        <w:t>hedge;</w:t>
      </w:r>
      <w:proofErr w:type="gramEnd"/>
    </w:p>
    <w:p w14:paraId="25AACD00" w14:textId="124D5EE8" w:rsidR="00657236" w:rsidRPr="00180B8D" w:rsidRDefault="00D655E7">
      <w:pPr>
        <w:pStyle w:val="P68B1DB1-Normal2"/>
        <w:spacing w:after="0" w:line="240" w:lineRule="auto"/>
        <w:ind w:firstLine="567"/>
        <w:jc w:val="both"/>
        <w:rPr>
          <w:lang w:val="en-GB"/>
        </w:rPr>
      </w:pPr>
      <w:r w:rsidRPr="00180B8D">
        <w:rPr>
          <w:i/>
          <w:lang w:val="en-GB"/>
        </w:rPr>
        <w:t>B</w:t>
      </w:r>
      <w:r w:rsidRPr="00180B8D">
        <w:rPr>
          <w:i/>
          <w:vertAlign w:val="subscript"/>
          <w:lang w:val="en-GB"/>
        </w:rPr>
        <w:t xml:space="preserve"> </w:t>
      </w:r>
      <w:proofErr w:type="spellStart"/>
      <w:r w:rsidRPr="00180B8D">
        <w:rPr>
          <w:i/>
          <w:vertAlign w:val="subscript"/>
          <w:lang w:val="en-GB"/>
        </w:rPr>
        <w:t>h</w:t>
      </w:r>
      <w:r w:rsidRPr="00180B8D">
        <w:rPr>
          <w:i/>
          <w:vertAlign w:val="superscript"/>
          <w:lang w:val="en-GB"/>
        </w:rPr>
        <w:t>SN</w:t>
      </w:r>
      <w:proofErr w:type="spellEnd"/>
      <w:r w:rsidRPr="00180B8D">
        <w:rPr>
          <w:lang w:val="en-GB"/>
        </w:rPr>
        <w:t xml:space="preserve"> = the notional of a single-name instrument recognised as an eligible </w:t>
      </w:r>
      <w:proofErr w:type="gramStart"/>
      <w:r w:rsidRPr="00180B8D">
        <w:rPr>
          <w:lang w:val="en-GB"/>
        </w:rPr>
        <w:t>hedge;</w:t>
      </w:r>
      <w:proofErr w:type="gramEnd"/>
    </w:p>
    <w:p w14:paraId="24873086" w14:textId="40B8433A" w:rsidR="00657236" w:rsidRPr="00180B8D" w:rsidRDefault="00D655E7">
      <w:pPr>
        <w:pStyle w:val="P68B1DB1-Normal2"/>
        <w:spacing w:after="0" w:line="240" w:lineRule="auto"/>
        <w:ind w:firstLine="567"/>
        <w:jc w:val="both"/>
        <w:rPr>
          <w:lang w:val="en-GB"/>
        </w:rPr>
      </w:pPr>
      <w:r w:rsidRPr="00180B8D">
        <w:rPr>
          <w:i/>
          <w:lang w:val="en-GB"/>
        </w:rPr>
        <w:t>DF</w:t>
      </w:r>
      <w:r w:rsidRPr="00180B8D">
        <w:rPr>
          <w:i/>
          <w:vertAlign w:val="subscript"/>
          <w:lang w:val="en-GB"/>
        </w:rPr>
        <w:t xml:space="preserve"> </w:t>
      </w:r>
      <w:proofErr w:type="spellStart"/>
      <w:r w:rsidRPr="00180B8D">
        <w:rPr>
          <w:i/>
          <w:vertAlign w:val="subscript"/>
          <w:lang w:val="en-GB"/>
        </w:rPr>
        <w:t>h</w:t>
      </w:r>
      <w:r w:rsidRPr="00180B8D">
        <w:rPr>
          <w:i/>
          <w:vertAlign w:val="superscript"/>
          <w:lang w:val="en-GB"/>
        </w:rPr>
        <w:t>SN</w:t>
      </w:r>
      <w:proofErr w:type="spellEnd"/>
      <w:r w:rsidRPr="00180B8D">
        <w:rPr>
          <w:lang w:val="en-GB"/>
        </w:rPr>
        <w:t xml:space="preserve"> = </w:t>
      </w:r>
      <w:r w:rsidR="00905F6F">
        <w:rPr>
          <w:lang w:val="en-GB"/>
        </w:rPr>
        <w:t xml:space="preserve">the </w:t>
      </w:r>
      <w:r w:rsidRPr="00180B8D">
        <w:rPr>
          <w:lang w:val="en-GB"/>
        </w:rPr>
        <w:t>supervisory discount factor for a single-name instrument recognised as an eligible hedge, calculated as follows:</w:t>
      </w:r>
    </w:p>
    <w:p w14:paraId="715D4F02" w14:textId="77777777" w:rsidR="00657236" w:rsidRPr="00180B8D" w:rsidRDefault="00657236">
      <w:pPr>
        <w:spacing w:after="0" w:line="240" w:lineRule="auto"/>
        <w:ind w:firstLine="567"/>
        <w:jc w:val="both"/>
        <w:rPr>
          <w:rFonts w:ascii="Times New Roman" w:eastAsia="Times New Roman" w:hAnsi="Times New Roman" w:cs="Times New Roman"/>
          <w:kern w:val="0"/>
          <w:sz w:val="24"/>
          <w:szCs w:val="24"/>
          <w:lang w:val="en-GB"/>
          <w14:ligatures w14:val="none"/>
        </w:rPr>
      </w:pPr>
    </w:p>
    <w:p w14:paraId="23ACE0C3" w14:textId="6EB0CE7C" w:rsidR="00657236" w:rsidRPr="00180B8D" w:rsidRDefault="00D655E7">
      <w:pPr>
        <w:pStyle w:val="P68B1DB1-Normal2"/>
        <w:spacing w:after="0" w:line="240" w:lineRule="auto"/>
        <w:jc w:val="center"/>
        <w:rPr>
          <w:lang w:val="en-GB"/>
        </w:rPr>
      </w:pPr>
      <w:r w:rsidRPr="00180B8D">
        <w:rPr>
          <w:noProof/>
          <w:lang w:val="en-GB"/>
        </w:rPr>
        <w:drawing>
          <wp:inline distT="0" distB="0" distL="0" distR="0" wp14:anchorId="61014DA8" wp14:editId="7966900A">
            <wp:extent cx="1483995" cy="65532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83995" cy="655320"/>
                    </a:xfrm>
                    <a:prstGeom prst="rect">
                      <a:avLst/>
                    </a:prstGeom>
                    <a:noFill/>
                    <a:ln>
                      <a:noFill/>
                    </a:ln>
                  </pic:spPr>
                </pic:pic>
              </a:graphicData>
            </a:graphic>
          </wp:inline>
        </w:drawing>
      </w:r>
    </w:p>
    <w:p w14:paraId="3A375502" w14:textId="130E3FE2" w:rsidR="00657236" w:rsidRPr="00180B8D" w:rsidRDefault="00D655E7">
      <w:pPr>
        <w:pStyle w:val="P68B1DB1-Normal2"/>
        <w:spacing w:after="0" w:line="240" w:lineRule="auto"/>
        <w:ind w:firstLine="567"/>
        <w:jc w:val="both"/>
        <w:rPr>
          <w:lang w:val="en-GB"/>
        </w:rPr>
      </w:pPr>
      <w:r w:rsidRPr="00180B8D">
        <w:rPr>
          <w:i/>
          <w:lang w:val="en-GB"/>
        </w:rPr>
        <w:t>RW</w:t>
      </w:r>
      <w:r w:rsidRPr="00180B8D">
        <w:rPr>
          <w:i/>
          <w:vertAlign w:val="subscript"/>
          <w:lang w:val="en-GB"/>
        </w:rPr>
        <w:t xml:space="preserve"> </w:t>
      </w:r>
      <w:proofErr w:type="spellStart"/>
      <w:r w:rsidRPr="00180B8D">
        <w:rPr>
          <w:i/>
          <w:vertAlign w:val="subscript"/>
          <w:lang w:val="en-GB"/>
        </w:rPr>
        <w:t>h</w:t>
      </w:r>
      <w:r w:rsidRPr="00180B8D">
        <w:rPr>
          <w:i/>
          <w:vertAlign w:val="superscript"/>
          <w:lang w:val="en-GB"/>
        </w:rPr>
        <w:t>SN</w:t>
      </w:r>
      <w:proofErr w:type="spellEnd"/>
      <w:r w:rsidRPr="00180B8D">
        <w:rPr>
          <w:lang w:val="en-GB"/>
        </w:rPr>
        <w:t xml:space="preserve"> = the supervisory risk weight of a single-name instrument recognised as an eligible hedge; those risk weights </w:t>
      </w:r>
      <w:r w:rsidR="00905F6F">
        <w:rPr>
          <w:lang w:val="en-GB"/>
        </w:rPr>
        <w:t>shall be</w:t>
      </w:r>
      <w:r w:rsidRPr="00180B8D">
        <w:rPr>
          <w:lang w:val="en-GB"/>
        </w:rPr>
        <w:t xml:space="preserve"> based on a combination of sector and credit quality of the reference credit spread of the hedging instrument and are determined in accordance with Table </w:t>
      </w:r>
      <w:proofErr w:type="gramStart"/>
      <w:r w:rsidRPr="00180B8D">
        <w:rPr>
          <w:lang w:val="en-GB"/>
        </w:rPr>
        <w:t>9;</w:t>
      </w:r>
      <w:proofErr w:type="gramEnd"/>
    </w:p>
    <w:p w14:paraId="77C50218" w14:textId="3CF16A79" w:rsidR="00657236" w:rsidRPr="00180B8D" w:rsidRDefault="00D655E7">
      <w:pPr>
        <w:pStyle w:val="P68B1DB1-Normal2"/>
        <w:spacing w:after="0" w:line="240" w:lineRule="auto"/>
        <w:ind w:firstLine="567"/>
        <w:jc w:val="both"/>
        <w:rPr>
          <w:lang w:val="en-GB"/>
        </w:rPr>
      </w:pPr>
      <w:r w:rsidRPr="00180B8D">
        <w:rPr>
          <w:i/>
          <w:lang w:val="en-GB"/>
        </w:rPr>
        <w:t>M</w:t>
      </w:r>
      <w:r w:rsidRPr="00180B8D">
        <w:rPr>
          <w:i/>
          <w:vertAlign w:val="subscript"/>
          <w:lang w:val="en-GB"/>
        </w:rPr>
        <w:t xml:space="preserve"> </w:t>
      </w:r>
      <w:proofErr w:type="spellStart"/>
      <w:r w:rsidRPr="00180B8D">
        <w:rPr>
          <w:i/>
          <w:vertAlign w:val="subscript"/>
          <w:lang w:val="en-GB"/>
        </w:rPr>
        <w:t>i</w:t>
      </w:r>
      <w:r w:rsidRPr="00180B8D">
        <w:rPr>
          <w:i/>
          <w:vertAlign w:val="superscript"/>
          <w:lang w:val="en-GB"/>
        </w:rPr>
        <w:t>ind</w:t>
      </w:r>
      <w:proofErr w:type="spellEnd"/>
      <w:r w:rsidRPr="00180B8D">
        <w:rPr>
          <w:lang w:val="en-GB"/>
        </w:rPr>
        <w:t xml:space="preserve"> = the residual maturity of one or more positions in the same index instrument recognised as an eligible hedge; where there is more than one position in the same index instrument, </w:t>
      </w:r>
      <w:r w:rsidRPr="00180B8D">
        <w:rPr>
          <w:i/>
          <w:lang w:val="en-GB"/>
        </w:rPr>
        <w:t>M</w:t>
      </w:r>
      <w:r w:rsidRPr="00180B8D">
        <w:rPr>
          <w:i/>
          <w:vertAlign w:val="subscript"/>
          <w:lang w:val="en-GB"/>
        </w:rPr>
        <w:t xml:space="preserve"> </w:t>
      </w:r>
      <w:r w:rsidR="00905F6F">
        <w:rPr>
          <w:i/>
          <w:vertAlign w:val="subscript"/>
          <w:lang w:val="en-GB"/>
        </w:rPr>
        <w:t>i</w:t>
      </w:r>
      <w:r w:rsidRPr="00180B8D">
        <w:rPr>
          <w:i/>
          <w:vertAlign w:val="superscript"/>
          <w:lang w:val="en-GB"/>
        </w:rPr>
        <w:t xml:space="preserve"> </w:t>
      </w:r>
      <w:proofErr w:type="spellStart"/>
      <w:r w:rsidRPr="00180B8D">
        <w:rPr>
          <w:i/>
          <w:vertAlign w:val="superscript"/>
          <w:lang w:val="en-GB"/>
        </w:rPr>
        <w:t>i</w:t>
      </w:r>
      <w:r w:rsidR="00905F6F">
        <w:rPr>
          <w:i/>
          <w:vertAlign w:val="superscript"/>
          <w:lang w:val="en-GB"/>
        </w:rPr>
        <w:t>n</w:t>
      </w:r>
      <w:r w:rsidRPr="00180B8D">
        <w:rPr>
          <w:i/>
          <w:vertAlign w:val="superscript"/>
          <w:lang w:val="en-GB"/>
        </w:rPr>
        <w:t>d</w:t>
      </w:r>
      <w:proofErr w:type="spellEnd"/>
      <w:r w:rsidRPr="00180B8D">
        <w:rPr>
          <w:lang w:val="en-GB"/>
        </w:rPr>
        <w:t xml:space="preserve"> shall be the notional-weighted maturity of all those </w:t>
      </w:r>
      <w:proofErr w:type="gramStart"/>
      <w:r w:rsidRPr="00180B8D">
        <w:rPr>
          <w:lang w:val="en-GB"/>
        </w:rPr>
        <w:t>positions;</w:t>
      </w:r>
      <w:proofErr w:type="gramEnd"/>
    </w:p>
    <w:p w14:paraId="5BEE40C9" w14:textId="148E7110" w:rsidR="00657236" w:rsidRPr="00180B8D" w:rsidRDefault="00D655E7">
      <w:pPr>
        <w:pStyle w:val="P68B1DB1-Normal2"/>
        <w:spacing w:after="0" w:line="240" w:lineRule="auto"/>
        <w:ind w:firstLine="567"/>
        <w:jc w:val="both"/>
        <w:rPr>
          <w:lang w:val="en-GB"/>
        </w:rPr>
      </w:pPr>
      <w:r w:rsidRPr="00180B8D">
        <w:rPr>
          <w:i/>
          <w:lang w:val="en-GB"/>
        </w:rPr>
        <w:t>B</w:t>
      </w:r>
      <w:r w:rsidRPr="00180B8D">
        <w:rPr>
          <w:i/>
          <w:vertAlign w:val="subscript"/>
          <w:lang w:val="en-GB"/>
        </w:rPr>
        <w:t xml:space="preserve"> </w:t>
      </w:r>
      <w:proofErr w:type="spellStart"/>
      <w:r w:rsidRPr="00180B8D">
        <w:rPr>
          <w:i/>
          <w:vertAlign w:val="subscript"/>
          <w:lang w:val="en-GB"/>
        </w:rPr>
        <w:t>i</w:t>
      </w:r>
      <w:r w:rsidRPr="00180B8D">
        <w:rPr>
          <w:i/>
          <w:vertAlign w:val="superscript"/>
          <w:lang w:val="en-GB"/>
        </w:rPr>
        <w:t>ind</w:t>
      </w:r>
      <w:proofErr w:type="spellEnd"/>
      <w:r w:rsidRPr="00180B8D">
        <w:rPr>
          <w:lang w:val="en-GB"/>
        </w:rPr>
        <w:t xml:space="preserve"> = the full notional of one or more positions in the same index instrument recognised as an eligible </w:t>
      </w:r>
      <w:proofErr w:type="gramStart"/>
      <w:r w:rsidRPr="00180B8D">
        <w:rPr>
          <w:lang w:val="en-GB"/>
        </w:rPr>
        <w:t>hedge;</w:t>
      </w:r>
      <w:proofErr w:type="gramEnd"/>
    </w:p>
    <w:p w14:paraId="5E3858C7" w14:textId="15F71185" w:rsidR="00657236" w:rsidRPr="00180B8D" w:rsidRDefault="00D655E7">
      <w:pPr>
        <w:pStyle w:val="P68B1DB1-Normal2"/>
        <w:spacing w:after="0" w:line="240" w:lineRule="auto"/>
        <w:ind w:firstLine="567"/>
        <w:jc w:val="both"/>
        <w:rPr>
          <w:lang w:val="en-GB"/>
        </w:rPr>
      </w:pPr>
      <w:r w:rsidRPr="00180B8D">
        <w:rPr>
          <w:i/>
          <w:lang w:val="en-GB"/>
        </w:rPr>
        <w:t>DF</w:t>
      </w:r>
      <w:r w:rsidRPr="00180B8D">
        <w:rPr>
          <w:i/>
          <w:vertAlign w:val="subscript"/>
          <w:lang w:val="en-GB"/>
        </w:rPr>
        <w:t xml:space="preserve"> </w:t>
      </w:r>
      <w:proofErr w:type="spellStart"/>
      <w:r w:rsidRPr="00180B8D">
        <w:rPr>
          <w:i/>
          <w:vertAlign w:val="subscript"/>
          <w:lang w:val="en-GB"/>
        </w:rPr>
        <w:t>i</w:t>
      </w:r>
      <w:r w:rsidRPr="00180B8D">
        <w:rPr>
          <w:i/>
          <w:vertAlign w:val="superscript"/>
          <w:lang w:val="en-GB"/>
        </w:rPr>
        <w:t>ind</w:t>
      </w:r>
      <w:proofErr w:type="spellEnd"/>
      <w:r w:rsidRPr="00180B8D">
        <w:rPr>
          <w:lang w:val="en-GB"/>
        </w:rPr>
        <w:t xml:space="preserve"> = </w:t>
      </w:r>
      <w:r w:rsidR="00905F6F">
        <w:rPr>
          <w:lang w:val="en-GB"/>
        </w:rPr>
        <w:t xml:space="preserve">the </w:t>
      </w:r>
      <w:r w:rsidRPr="00180B8D">
        <w:rPr>
          <w:lang w:val="en-GB"/>
        </w:rPr>
        <w:t>supervisory discount factor for one or more positions in the same index instrument recognised as an eligible hedge, calculated as follows:</w:t>
      </w:r>
    </w:p>
    <w:p w14:paraId="32B2AA81" w14:textId="3707EED3" w:rsidR="00657236" w:rsidRPr="00180B8D" w:rsidRDefault="00D655E7">
      <w:pPr>
        <w:pStyle w:val="P68B1DB1-Normal2"/>
        <w:spacing w:after="0" w:line="240" w:lineRule="auto"/>
        <w:jc w:val="center"/>
        <w:rPr>
          <w:lang w:val="en-GB"/>
        </w:rPr>
      </w:pPr>
      <w:r w:rsidRPr="00180B8D">
        <w:rPr>
          <w:lang w:val="en-GB"/>
        </w:rPr>
        <w:br/>
      </w:r>
      <w:r w:rsidRPr="00180B8D">
        <w:rPr>
          <w:noProof/>
          <w:lang w:val="en-GB"/>
        </w:rPr>
        <w:drawing>
          <wp:inline distT="0" distB="0" distL="0" distR="0" wp14:anchorId="0A0D0B1D" wp14:editId="1B5C17C0">
            <wp:extent cx="1483995" cy="741680"/>
            <wp:effectExtent l="0" t="0" r="190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83995" cy="741680"/>
                    </a:xfrm>
                    <a:prstGeom prst="rect">
                      <a:avLst/>
                    </a:prstGeom>
                    <a:noFill/>
                    <a:ln>
                      <a:noFill/>
                    </a:ln>
                  </pic:spPr>
                </pic:pic>
              </a:graphicData>
            </a:graphic>
          </wp:inline>
        </w:drawing>
      </w:r>
    </w:p>
    <w:p w14:paraId="0B43D309" w14:textId="61F9482E" w:rsidR="00657236" w:rsidRPr="00180B8D" w:rsidRDefault="00D655E7">
      <w:pPr>
        <w:pStyle w:val="P68B1DB1-Normal2"/>
        <w:spacing w:after="0" w:line="240" w:lineRule="auto"/>
        <w:ind w:firstLine="567"/>
        <w:jc w:val="both"/>
        <w:rPr>
          <w:lang w:val="en-GB"/>
        </w:rPr>
      </w:pPr>
      <w:r w:rsidRPr="00180B8D">
        <w:rPr>
          <w:i/>
          <w:lang w:val="en-GB"/>
        </w:rPr>
        <w:t>RW</w:t>
      </w:r>
      <w:r w:rsidRPr="00180B8D">
        <w:rPr>
          <w:i/>
          <w:vertAlign w:val="subscript"/>
          <w:lang w:val="en-GB"/>
        </w:rPr>
        <w:t xml:space="preserve"> </w:t>
      </w:r>
      <w:proofErr w:type="spellStart"/>
      <w:r w:rsidRPr="00180B8D">
        <w:rPr>
          <w:i/>
          <w:vertAlign w:val="subscript"/>
          <w:lang w:val="en-GB"/>
        </w:rPr>
        <w:t>i</w:t>
      </w:r>
      <w:r w:rsidRPr="00180B8D">
        <w:rPr>
          <w:i/>
          <w:vertAlign w:val="superscript"/>
          <w:lang w:val="en-GB"/>
        </w:rPr>
        <w:t>ind</w:t>
      </w:r>
      <w:proofErr w:type="spellEnd"/>
      <w:r w:rsidRPr="00180B8D">
        <w:rPr>
          <w:lang w:val="en-GB"/>
        </w:rPr>
        <w:t xml:space="preserve"> = the supervisory risk weight of an index instrument recognised as an eligible hedge; </w:t>
      </w:r>
      <w:r w:rsidRPr="00180B8D">
        <w:rPr>
          <w:i/>
          <w:lang w:val="en-GB"/>
        </w:rPr>
        <w:t>RW</w:t>
      </w:r>
      <w:r w:rsidRPr="00180B8D">
        <w:rPr>
          <w:i/>
          <w:vertAlign w:val="subscript"/>
          <w:lang w:val="en-GB"/>
        </w:rPr>
        <w:t xml:space="preserve"> </w:t>
      </w:r>
      <w:proofErr w:type="spellStart"/>
      <w:r w:rsidRPr="00180B8D">
        <w:rPr>
          <w:i/>
          <w:vertAlign w:val="subscript"/>
          <w:lang w:val="en-GB"/>
        </w:rPr>
        <w:t>i</w:t>
      </w:r>
      <w:r w:rsidRPr="00180B8D">
        <w:rPr>
          <w:i/>
          <w:vertAlign w:val="superscript"/>
          <w:lang w:val="en-GB"/>
        </w:rPr>
        <w:t>ind</w:t>
      </w:r>
      <w:proofErr w:type="spellEnd"/>
      <w:r w:rsidRPr="00180B8D">
        <w:rPr>
          <w:lang w:val="en-GB"/>
        </w:rPr>
        <w:t xml:space="preserve"> </w:t>
      </w:r>
      <w:r w:rsidR="00905F6F">
        <w:rPr>
          <w:lang w:val="en-GB"/>
        </w:rPr>
        <w:t>shall be</w:t>
      </w:r>
      <w:r w:rsidRPr="00180B8D">
        <w:rPr>
          <w:lang w:val="en-GB"/>
        </w:rPr>
        <w:t xml:space="preserve"> based on a combination of sector and credit quality of all </w:t>
      </w:r>
      <w:r w:rsidR="00905F6F" w:rsidRPr="00180B8D">
        <w:rPr>
          <w:lang w:val="en-GB"/>
        </w:rPr>
        <w:t>index</w:t>
      </w:r>
      <w:r w:rsidR="00905F6F">
        <w:rPr>
          <w:lang w:val="en-GB"/>
        </w:rPr>
        <w:t xml:space="preserve"> </w:t>
      </w:r>
      <w:r w:rsidR="00905F6F" w:rsidRPr="00905F6F">
        <w:t>constituent</w:t>
      </w:r>
      <w:r w:rsidRPr="00180B8D">
        <w:rPr>
          <w:lang w:val="en-GB"/>
        </w:rPr>
        <w:t>, calculated as follows:</w:t>
      </w:r>
    </w:p>
    <w:p w14:paraId="4403AE47" w14:textId="0428375D" w:rsidR="00657236" w:rsidRPr="00180B8D" w:rsidRDefault="00905F6F">
      <w:pPr>
        <w:pStyle w:val="P68B1DB1-Normal2"/>
        <w:spacing w:after="0" w:line="240" w:lineRule="auto"/>
        <w:ind w:firstLine="567"/>
        <w:jc w:val="both"/>
        <w:rPr>
          <w:lang w:val="en-GB"/>
        </w:rPr>
      </w:pPr>
      <w:r>
        <w:rPr>
          <w:i/>
          <w:lang w:val="en-GB"/>
        </w:rPr>
        <w:t xml:space="preserve">i) </w:t>
      </w:r>
      <w:r w:rsidRPr="00905F6F">
        <w:rPr>
          <w:iCs/>
          <w:lang w:val="en-GB"/>
        </w:rPr>
        <w:t>where</w:t>
      </w:r>
      <w:r w:rsidRPr="00180B8D">
        <w:rPr>
          <w:lang w:val="en-GB"/>
        </w:rPr>
        <w:t xml:space="preserve"> all index </w:t>
      </w:r>
      <w:r w:rsidRPr="00905F6F">
        <w:t>constituents </w:t>
      </w:r>
      <w:r w:rsidRPr="00180B8D">
        <w:rPr>
          <w:lang w:val="en-GB"/>
        </w:rPr>
        <w:t xml:space="preserve">belong to the same sector and have the same credit quality, as determined in accordance with Table 9, shall be calculated as the relevant risk weight in Table 9 for that sector and that credit quality multiplied by </w:t>
      </w:r>
      <w:proofErr w:type="gramStart"/>
      <w:r w:rsidRPr="00180B8D">
        <w:rPr>
          <w:lang w:val="en-GB"/>
        </w:rPr>
        <w:t>0,7;</w:t>
      </w:r>
      <w:proofErr w:type="gramEnd"/>
    </w:p>
    <w:p w14:paraId="5C41A17F" w14:textId="4C502A00" w:rsidR="00657236" w:rsidRPr="00180B8D" w:rsidRDefault="00905F6F">
      <w:pPr>
        <w:pStyle w:val="P68B1DB1-Normal2"/>
        <w:spacing w:after="0" w:line="240" w:lineRule="auto"/>
        <w:ind w:firstLine="567"/>
        <w:jc w:val="both"/>
        <w:rPr>
          <w:lang w:val="en-GB"/>
        </w:rPr>
      </w:pPr>
      <w:r>
        <w:rPr>
          <w:i/>
          <w:lang w:val="en-GB"/>
        </w:rPr>
        <w:t xml:space="preserve">ii) </w:t>
      </w:r>
      <w:r w:rsidRPr="00905F6F">
        <w:rPr>
          <w:iCs/>
          <w:lang w:val="en-GB"/>
        </w:rPr>
        <w:t>where</w:t>
      </w:r>
      <w:r w:rsidRPr="00180B8D">
        <w:rPr>
          <w:lang w:val="en-GB"/>
        </w:rPr>
        <w:t xml:space="preserve"> all index </w:t>
      </w:r>
      <w:r w:rsidRPr="00905F6F">
        <w:t>constituents </w:t>
      </w:r>
      <w:r>
        <w:rPr>
          <w:lang w:val="en-GB"/>
        </w:rPr>
        <w:t xml:space="preserve">do not </w:t>
      </w:r>
      <w:r w:rsidRPr="00180B8D">
        <w:rPr>
          <w:lang w:val="en-GB"/>
        </w:rPr>
        <w:t xml:space="preserve">belong to the same sector or </w:t>
      </w:r>
      <w:r>
        <w:rPr>
          <w:lang w:val="en-GB"/>
        </w:rPr>
        <w:t xml:space="preserve">do not </w:t>
      </w:r>
      <w:r w:rsidRPr="00180B8D">
        <w:rPr>
          <w:lang w:val="en-GB"/>
        </w:rPr>
        <w:t xml:space="preserve">have the same credit quality, </w:t>
      </w:r>
      <w:proofErr w:type="spellStart"/>
      <w:r w:rsidRPr="00180B8D">
        <w:rPr>
          <w:i/>
          <w:lang w:val="en-GB"/>
        </w:rPr>
        <w:t>RW</w:t>
      </w:r>
      <w:r w:rsidRPr="00180B8D">
        <w:rPr>
          <w:i/>
          <w:vertAlign w:val="subscript"/>
          <w:lang w:val="en-GB"/>
        </w:rPr>
        <w:t>i</w:t>
      </w:r>
      <w:r w:rsidRPr="00180B8D">
        <w:rPr>
          <w:i/>
          <w:vertAlign w:val="superscript"/>
          <w:lang w:val="en-GB"/>
        </w:rPr>
        <w:t>ind</w:t>
      </w:r>
      <w:proofErr w:type="spellEnd"/>
      <w:r w:rsidRPr="00180B8D">
        <w:rPr>
          <w:lang w:val="en-GB"/>
        </w:rPr>
        <w:t xml:space="preserve"> shall be calculated as the weighted average of the risk weights of all </w:t>
      </w:r>
      <w:r w:rsidR="001B0494" w:rsidRPr="00180B8D">
        <w:rPr>
          <w:lang w:val="en-GB"/>
        </w:rPr>
        <w:t xml:space="preserve">index </w:t>
      </w:r>
      <w:r w:rsidR="001B0494" w:rsidRPr="001B0494">
        <w:t>constituents</w:t>
      </w:r>
      <w:r w:rsidR="001B0494">
        <w:t xml:space="preserve">, as </w:t>
      </w:r>
      <w:r w:rsidRPr="00180B8D">
        <w:rPr>
          <w:lang w:val="en-GB"/>
        </w:rPr>
        <w:t>determined in accordance with Table 9 multiplied by</w:t>
      </w:r>
      <w:r w:rsidR="001B0494">
        <w:rPr>
          <w:lang w:val="en-GB"/>
        </w:rPr>
        <w:t xml:space="preserve"> </w:t>
      </w:r>
      <w:proofErr w:type="gramStart"/>
      <w:r w:rsidR="001B0494">
        <w:rPr>
          <w:lang w:val="en-GB"/>
        </w:rPr>
        <w:t>0,7;</w:t>
      </w:r>
      <w:proofErr w:type="gramEnd"/>
    </w:p>
    <w:p w14:paraId="5CDD7ED2" w14:textId="77777777" w:rsidR="00657236" w:rsidRPr="00180B8D" w:rsidRDefault="00D655E7">
      <w:pPr>
        <w:pStyle w:val="P68B1DB1-Normal2"/>
        <w:spacing w:after="0" w:line="240" w:lineRule="auto"/>
        <w:ind w:firstLine="567"/>
        <w:jc w:val="both"/>
        <w:rPr>
          <w:lang w:val="en-GB"/>
        </w:rPr>
      </w:pPr>
      <w:r w:rsidRPr="00180B8D">
        <w:rPr>
          <w:lang w:val="en-GB"/>
        </w:rPr>
        <w:t> </w:t>
      </w:r>
    </w:p>
    <w:p w14:paraId="38571788" w14:textId="77777777" w:rsidR="00657236" w:rsidRPr="00180B8D" w:rsidRDefault="00D655E7">
      <w:pPr>
        <w:pStyle w:val="P68B1DB1-Normal4"/>
        <w:spacing w:after="0" w:line="240" w:lineRule="auto"/>
        <w:jc w:val="right"/>
        <w:rPr>
          <w:lang w:val="en-GB"/>
        </w:rPr>
      </w:pPr>
      <w:r w:rsidRPr="00180B8D">
        <w:rPr>
          <w:lang w:val="en-GB"/>
        </w:rPr>
        <w:t>Table 9</w:t>
      </w:r>
    </w:p>
    <w:p w14:paraId="002E7CB3" w14:textId="77777777" w:rsidR="00657236" w:rsidRPr="00180B8D" w:rsidRDefault="00D655E7">
      <w:pPr>
        <w:pStyle w:val="P68B1DB1-Normal2"/>
        <w:spacing w:after="0" w:line="240" w:lineRule="auto"/>
        <w:jc w:val="right"/>
        <w:rPr>
          <w:lang w:val="en-GB"/>
        </w:rPr>
      </w:pPr>
      <w:r w:rsidRPr="00180B8D">
        <w:rPr>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305"/>
        <w:gridCol w:w="914"/>
        <w:gridCol w:w="1252"/>
      </w:tblGrid>
      <w:tr w:rsidR="00834BD7" w:rsidRPr="00180B8D" w14:paraId="21BD9C0F" w14:textId="77777777">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vAlign w:val="center"/>
            <w:hideMark/>
          </w:tcPr>
          <w:p w14:paraId="12728CA9" w14:textId="407D9E2B" w:rsidR="00657236" w:rsidRPr="00180B8D" w:rsidRDefault="001B0494">
            <w:pPr>
              <w:pStyle w:val="P68B1DB1-Normal1"/>
              <w:spacing w:after="0" w:line="240" w:lineRule="auto"/>
              <w:jc w:val="center"/>
              <w:rPr>
                <w:lang w:val="en-GB"/>
              </w:rPr>
            </w:pPr>
            <w:r w:rsidRPr="001B0494">
              <w:rPr>
                <w:lang w:val="en-GB"/>
              </w:rPr>
              <w:lastRenderedPageBreak/>
              <w:t>Sector of counterparty</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F8AFAA0" w14:textId="77777777" w:rsidR="00657236" w:rsidRPr="00180B8D" w:rsidRDefault="00D655E7">
            <w:pPr>
              <w:pStyle w:val="P68B1DB1-Normal1"/>
              <w:spacing w:after="0" w:line="240" w:lineRule="auto"/>
              <w:jc w:val="center"/>
              <w:rPr>
                <w:lang w:val="en-GB"/>
              </w:rPr>
            </w:pPr>
            <w:r w:rsidRPr="00180B8D">
              <w:rPr>
                <w:lang w:val="en-GB"/>
              </w:rPr>
              <w:t>Credit quality</w:t>
            </w:r>
          </w:p>
        </w:tc>
      </w:tr>
      <w:tr w:rsidR="00834BD7" w:rsidRPr="00180B8D" w14:paraId="508B16D8" w14:textId="77777777">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189F87" w14:textId="77777777" w:rsidR="00657236" w:rsidRPr="00180B8D" w:rsidRDefault="00657236">
            <w:pPr>
              <w:spacing w:after="0" w:line="240" w:lineRule="auto"/>
              <w:rPr>
                <w:rFonts w:ascii="Times New Roman" w:eastAsia="Times New Roman" w:hAnsi="Times New Roman" w:cs="Times New Roman"/>
                <w:kern w:val="0"/>
                <w:sz w:val="24"/>
                <w:szCs w:val="24"/>
                <w:lang w:val="en-GB"/>
                <w14:ligatures w14:val="none"/>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6AEF032B" w14:textId="77777777" w:rsidR="001B0494" w:rsidRPr="001B0494" w:rsidRDefault="001B0494" w:rsidP="001B0494">
            <w:pPr>
              <w:pStyle w:val="P68B1DB1-Normal2"/>
              <w:spacing w:after="0" w:line="240" w:lineRule="auto"/>
              <w:rPr>
                <w:b/>
                <w:bCs/>
                <w:lang w:val="ro-MD"/>
              </w:rPr>
            </w:pPr>
            <w:r w:rsidRPr="001B0494">
              <w:rPr>
                <w:b/>
                <w:bCs/>
                <w:lang w:val="ro-MD"/>
              </w:rPr>
              <w:t>Credit quality</w:t>
            </w:r>
          </w:p>
          <w:p w14:paraId="05ACBABD" w14:textId="748A3B3C" w:rsidR="00657236" w:rsidRPr="001B0494" w:rsidRDefault="001B0494" w:rsidP="001B0494">
            <w:pPr>
              <w:pStyle w:val="P68B1DB1-Normal2"/>
              <w:spacing w:after="0" w:line="240" w:lineRule="auto"/>
              <w:rPr>
                <w:b/>
                <w:bCs/>
                <w:lang w:val="ro-MD"/>
              </w:rPr>
            </w:pPr>
            <w:r w:rsidRPr="001B0494">
              <w:rPr>
                <w:b/>
                <w:bCs/>
                <w:lang w:val="ro-MD"/>
              </w:rPr>
              <w:t xml:space="preserve">step 1 </w:t>
            </w:r>
            <w:proofErr w:type="spellStart"/>
            <w:r w:rsidRPr="001B0494">
              <w:rPr>
                <w:b/>
                <w:bCs/>
                <w:lang w:val="ro-MD"/>
              </w:rPr>
              <w:t>to</w:t>
            </w:r>
            <w:proofErr w:type="spellEnd"/>
            <w:r w:rsidRPr="001B0494">
              <w:rPr>
                <w:b/>
                <w:bCs/>
                <w:lang w:val="ro-MD"/>
              </w:rPr>
              <w:t xml:space="preserve"> 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4E849D15" w14:textId="240ECD4D" w:rsidR="00657236" w:rsidRPr="00180B8D" w:rsidRDefault="00D655E7">
            <w:pPr>
              <w:pStyle w:val="P68B1DB1-Normal1"/>
              <w:spacing w:after="0" w:line="240" w:lineRule="auto"/>
              <w:jc w:val="center"/>
              <w:rPr>
                <w:lang w:val="en-GB"/>
              </w:rPr>
            </w:pPr>
            <w:r w:rsidRPr="00180B8D">
              <w:rPr>
                <w:lang w:val="en-GB"/>
              </w:rPr>
              <w:t xml:space="preserve">Credit quality step 4 to 6 and </w:t>
            </w:r>
            <w:r w:rsidR="00670310">
              <w:rPr>
                <w:lang w:val="en-GB"/>
              </w:rPr>
              <w:t>not rated</w:t>
            </w:r>
          </w:p>
        </w:tc>
      </w:tr>
      <w:tr w:rsidR="00834BD7" w:rsidRPr="00180B8D" w14:paraId="03CF658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2F8406D" w14:textId="4AE0E148" w:rsidR="00657236" w:rsidRPr="00180B8D" w:rsidRDefault="00D655E7">
            <w:pPr>
              <w:pStyle w:val="P68B1DB1-Normal2"/>
              <w:spacing w:after="0" w:line="240" w:lineRule="auto"/>
              <w:rPr>
                <w:lang w:val="en-GB"/>
              </w:rPr>
            </w:pPr>
            <w:r w:rsidRPr="00180B8D">
              <w:rPr>
                <w:lang w:val="en-GB"/>
              </w:rPr>
              <w:t xml:space="preserve">Authorities of the central government of the Republic of Moldova, including central banks, multilateral development banks and international organisations referred to in the provisions </w:t>
            </w:r>
            <w:r w:rsidR="00670310">
              <w:rPr>
                <w:lang w:val="en-GB"/>
              </w:rPr>
              <w:t xml:space="preserve">of the </w:t>
            </w:r>
            <w:r w:rsidR="00670310" w:rsidRPr="00180B8D">
              <w:rPr>
                <w:lang w:val="en-GB"/>
              </w:rPr>
              <w:t>regulat</w:t>
            </w:r>
            <w:r w:rsidR="00472DDF">
              <w:rPr>
                <w:lang w:val="en-GB"/>
              </w:rPr>
              <w:t>ions</w:t>
            </w:r>
            <w:r w:rsidR="00670310" w:rsidRPr="00180B8D">
              <w:rPr>
                <w:lang w:val="en-GB"/>
              </w:rPr>
              <w:t xml:space="preserve"> </w:t>
            </w:r>
            <w:r w:rsidR="00834BD7">
              <w:rPr>
                <w:lang w:val="en-GB"/>
              </w:rPr>
              <w:t>on</w:t>
            </w:r>
            <w:r w:rsidRPr="00180B8D">
              <w:rPr>
                <w:lang w:val="en-GB"/>
              </w:rPr>
              <w:t xml:space="preserve"> the treatment of </w:t>
            </w:r>
            <w:r w:rsidR="00834BD7">
              <w:rPr>
                <w:lang w:val="en-GB"/>
              </w:rPr>
              <w:t xml:space="preserve">the </w:t>
            </w:r>
            <w:r w:rsidRPr="00180B8D">
              <w:rPr>
                <w:lang w:val="en-GB"/>
              </w:rPr>
              <w:t xml:space="preserve">market risk </w:t>
            </w:r>
            <w:r w:rsidR="00834BD7">
              <w:rPr>
                <w:lang w:val="en-GB"/>
              </w:rPr>
              <w:t>according to</w:t>
            </w:r>
            <w:r w:rsidRPr="00180B8D">
              <w:rPr>
                <w:lang w:val="en-GB"/>
              </w:rPr>
              <w:t xml:space="preserve"> the standardised approach</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8CC54EA" w14:textId="77777777" w:rsidR="00657236" w:rsidRPr="00180B8D" w:rsidRDefault="00D655E7">
            <w:pPr>
              <w:pStyle w:val="P68B1DB1-Normal2"/>
              <w:spacing w:after="0" w:line="240" w:lineRule="auto"/>
              <w:jc w:val="center"/>
              <w:rPr>
                <w:lang w:val="en-GB"/>
              </w:rPr>
            </w:pPr>
            <w:r w:rsidRPr="00180B8D">
              <w:rPr>
                <w:lang w:val="en-GB"/>
              </w:rPr>
              <w:t>0,5 %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1E25B25" w14:textId="77777777" w:rsidR="00657236" w:rsidRPr="00180B8D" w:rsidRDefault="00D655E7">
            <w:pPr>
              <w:pStyle w:val="P68B1DB1-Normal2"/>
              <w:spacing w:after="0" w:line="240" w:lineRule="auto"/>
              <w:jc w:val="center"/>
              <w:rPr>
                <w:lang w:val="en-GB"/>
              </w:rPr>
            </w:pPr>
            <w:r w:rsidRPr="00180B8D">
              <w:rPr>
                <w:lang w:val="en-GB"/>
              </w:rPr>
              <w:t>2,0 %</w:t>
            </w:r>
          </w:p>
        </w:tc>
      </w:tr>
      <w:tr w:rsidR="00834BD7" w:rsidRPr="00180B8D" w14:paraId="774C58D3"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761D55" w14:textId="77777777" w:rsidR="00657236" w:rsidRPr="00180B8D" w:rsidRDefault="00D655E7">
            <w:pPr>
              <w:pStyle w:val="P68B1DB1-Normal2"/>
              <w:spacing w:after="0" w:line="240" w:lineRule="auto"/>
              <w:rPr>
                <w:lang w:val="en-GB"/>
              </w:rPr>
            </w:pPr>
            <w:r w:rsidRPr="00180B8D">
              <w:rPr>
                <w:lang w:val="en-GB"/>
              </w:rPr>
              <w:t>Local public authority and public sector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5013B1" w14:textId="77777777" w:rsidR="00657236" w:rsidRPr="00180B8D" w:rsidRDefault="00D655E7">
            <w:pPr>
              <w:pStyle w:val="P68B1DB1-Normal2"/>
              <w:spacing w:after="0" w:line="240" w:lineRule="auto"/>
              <w:jc w:val="center"/>
              <w:rPr>
                <w:lang w:val="en-GB"/>
              </w:rPr>
            </w:pPr>
            <w:r w:rsidRPr="00180B8D">
              <w:rPr>
                <w:lang w:val="en-GB"/>
              </w:rPr>
              <w:t>1,0 %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7104C4F" w14:textId="77777777" w:rsidR="00657236" w:rsidRPr="00180B8D" w:rsidRDefault="00D655E7">
            <w:pPr>
              <w:pStyle w:val="P68B1DB1-Normal2"/>
              <w:spacing w:after="0" w:line="240" w:lineRule="auto"/>
              <w:jc w:val="center"/>
              <w:rPr>
                <w:lang w:val="en-GB"/>
              </w:rPr>
            </w:pPr>
            <w:r w:rsidRPr="00180B8D">
              <w:rPr>
                <w:lang w:val="en-GB"/>
              </w:rPr>
              <w:t>4,0 %</w:t>
            </w:r>
          </w:p>
        </w:tc>
      </w:tr>
      <w:tr w:rsidR="00834BD7" w:rsidRPr="00180B8D" w14:paraId="1A411DA9"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6F88698" w14:textId="77777777" w:rsidR="00657236" w:rsidRPr="00180B8D" w:rsidRDefault="00D655E7">
            <w:pPr>
              <w:pStyle w:val="P68B1DB1-Normal2"/>
              <w:spacing w:after="0" w:line="240" w:lineRule="auto"/>
              <w:rPr>
                <w:lang w:val="en-GB"/>
              </w:rPr>
            </w:pPr>
            <w:r w:rsidRPr="00180B8D">
              <w:rPr>
                <w:lang w:val="en-GB"/>
              </w:rPr>
              <w:t>Financial sector entities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7505D72" w14:textId="77777777" w:rsidR="00657236" w:rsidRPr="00180B8D" w:rsidRDefault="00D655E7">
            <w:pPr>
              <w:pStyle w:val="P68B1DB1-Normal2"/>
              <w:spacing w:after="0" w:line="240" w:lineRule="auto"/>
              <w:jc w:val="center"/>
              <w:rPr>
                <w:lang w:val="en-GB"/>
              </w:rPr>
            </w:pPr>
            <w:r w:rsidRPr="00180B8D">
              <w:rPr>
                <w:lang w:val="en-GB"/>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11DAB4A" w14:textId="77777777" w:rsidR="00657236" w:rsidRPr="00180B8D" w:rsidRDefault="00D655E7">
            <w:pPr>
              <w:pStyle w:val="P68B1DB1-Normal2"/>
              <w:spacing w:after="0" w:line="240" w:lineRule="auto"/>
              <w:jc w:val="center"/>
              <w:rPr>
                <w:lang w:val="en-GB"/>
              </w:rPr>
            </w:pPr>
            <w:r w:rsidRPr="00180B8D">
              <w:rPr>
                <w:lang w:val="en-GB"/>
              </w:rPr>
              <w:t>12,0 %</w:t>
            </w:r>
          </w:p>
        </w:tc>
      </w:tr>
      <w:tr w:rsidR="00834BD7" w:rsidRPr="00180B8D" w14:paraId="3C8E5EA5"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F1BA5E6" w14:textId="23BD32EA" w:rsidR="00657236" w:rsidRPr="00180B8D" w:rsidRDefault="00D655E7">
            <w:pPr>
              <w:pStyle w:val="P68B1DB1-Normal2"/>
              <w:spacing w:after="0" w:line="240" w:lineRule="auto"/>
              <w:rPr>
                <w:lang w:val="en-GB"/>
              </w:rPr>
            </w:pPr>
            <w:r w:rsidRPr="00180B8D">
              <w:rPr>
                <w:lang w:val="en-GB"/>
              </w:rPr>
              <w:t>Basic materials, energy, industrial</w:t>
            </w:r>
            <w:r w:rsidR="00834BD7">
              <w:rPr>
                <w:lang w:val="en-GB"/>
              </w:rPr>
              <w:t>s</w:t>
            </w:r>
            <w:r w:rsidRPr="00180B8D">
              <w:rPr>
                <w:lang w:val="en-GB"/>
              </w:rPr>
              <w:t>, agriculture, manufacturing, mining and quarrying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2B849A9" w14:textId="77777777" w:rsidR="00657236" w:rsidRPr="00180B8D" w:rsidRDefault="00D655E7">
            <w:pPr>
              <w:pStyle w:val="P68B1DB1-Normal2"/>
              <w:spacing w:after="0" w:line="240" w:lineRule="auto"/>
              <w:jc w:val="center"/>
              <w:rPr>
                <w:lang w:val="en-GB"/>
              </w:rPr>
            </w:pPr>
            <w:r w:rsidRPr="00180B8D">
              <w:rPr>
                <w:lang w:val="en-GB"/>
              </w:rPr>
              <w:t>3,0 %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22EEC1D2" w14:textId="77777777" w:rsidR="00657236" w:rsidRPr="00180B8D" w:rsidRDefault="00D655E7">
            <w:pPr>
              <w:pStyle w:val="P68B1DB1-Normal2"/>
              <w:spacing w:after="0" w:line="240" w:lineRule="auto"/>
              <w:jc w:val="center"/>
              <w:rPr>
                <w:lang w:val="en-GB"/>
              </w:rPr>
            </w:pPr>
            <w:r w:rsidRPr="00180B8D">
              <w:rPr>
                <w:lang w:val="en-GB"/>
              </w:rPr>
              <w:t>7,0 %</w:t>
            </w:r>
          </w:p>
        </w:tc>
      </w:tr>
      <w:tr w:rsidR="00834BD7" w:rsidRPr="00180B8D" w14:paraId="39BA3A76"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CD1B31D" w14:textId="2B8C7A69" w:rsidR="00657236" w:rsidRPr="00180B8D" w:rsidRDefault="00D655E7">
            <w:pPr>
              <w:pStyle w:val="P68B1DB1-Normal2"/>
              <w:spacing w:after="0" w:line="240" w:lineRule="auto"/>
              <w:rPr>
                <w:lang w:val="en-GB"/>
              </w:rPr>
            </w:pPr>
            <w:r w:rsidRPr="00180B8D">
              <w:rPr>
                <w:lang w:val="en-GB"/>
              </w:rPr>
              <w:t xml:space="preserve">Consumer </w:t>
            </w:r>
            <w:r w:rsidRPr="00180B8D">
              <w:rPr>
                <w:lang w:val="en-GB"/>
              </w:rPr>
              <w:t>goods and services, transport</w:t>
            </w:r>
            <w:r w:rsidR="00834BD7">
              <w:rPr>
                <w:lang w:val="en-GB"/>
              </w:rPr>
              <w:t>ation</w:t>
            </w:r>
            <w:r w:rsidRPr="00180B8D">
              <w:rPr>
                <w:lang w:val="en-GB"/>
              </w:rPr>
              <w:t xml:space="preserve"> and storage, administrative and support </w:t>
            </w:r>
            <w:r w:rsidR="00834BD7" w:rsidRPr="00180B8D">
              <w:rPr>
                <w:lang w:val="en-GB"/>
              </w:rPr>
              <w:t xml:space="preserve">service </w:t>
            </w:r>
            <w:r w:rsidRPr="00180B8D">
              <w:rPr>
                <w:lang w:val="en-GB"/>
              </w:rPr>
              <w:t>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53D12AD6" w14:textId="77777777" w:rsidR="00657236" w:rsidRPr="00180B8D" w:rsidRDefault="00D655E7">
            <w:pPr>
              <w:pStyle w:val="P68B1DB1-Normal2"/>
              <w:spacing w:after="0" w:line="240" w:lineRule="auto"/>
              <w:jc w:val="center"/>
              <w:rPr>
                <w:lang w:val="en-GB"/>
              </w:rPr>
            </w:pPr>
            <w:r w:rsidRPr="00180B8D">
              <w:rPr>
                <w:lang w:val="en-GB"/>
              </w:rPr>
              <w:t>3,0 %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A6542A4" w14:textId="77777777" w:rsidR="00657236" w:rsidRPr="00180B8D" w:rsidRDefault="00D655E7">
            <w:pPr>
              <w:pStyle w:val="P68B1DB1-Normal2"/>
              <w:spacing w:after="0" w:line="240" w:lineRule="auto"/>
              <w:jc w:val="center"/>
              <w:rPr>
                <w:lang w:val="en-GB"/>
              </w:rPr>
            </w:pPr>
            <w:r w:rsidRPr="00180B8D">
              <w:rPr>
                <w:lang w:val="en-GB"/>
              </w:rPr>
              <w:t>8,5 %</w:t>
            </w:r>
          </w:p>
        </w:tc>
      </w:tr>
      <w:tr w:rsidR="00834BD7" w:rsidRPr="00180B8D" w14:paraId="630604A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8619324" w14:textId="77777777" w:rsidR="00657236" w:rsidRPr="00180B8D" w:rsidRDefault="00D655E7">
            <w:pPr>
              <w:pStyle w:val="P68B1DB1-Normal2"/>
              <w:spacing w:after="0" w:line="240" w:lineRule="auto"/>
              <w:rPr>
                <w:lang w:val="en-GB"/>
              </w:rPr>
            </w:pPr>
            <w:r w:rsidRPr="00180B8D">
              <w:rPr>
                <w:lang w:val="en-GB"/>
              </w:rPr>
              <w:t>Technology, telecommunications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256907E" w14:textId="77777777" w:rsidR="00657236" w:rsidRPr="00180B8D" w:rsidRDefault="00D655E7">
            <w:pPr>
              <w:pStyle w:val="P68B1DB1-Normal2"/>
              <w:spacing w:after="0" w:line="240" w:lineRule="auto"/>
              <w:jc w:val="center"/>
              <w:rPr>
                <w:lang w:val="en-GB"/>
              </w:rPr>
            </w:pPr>
            <w:r w:rsidRPr="00180B8D">
              <w:rPr>
                <w:lang w:val="en-GB"/>
              </w:rPr>
              <w:t>2,0 %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DF1DF08" w14:textId="77777777" w:rsidR="00657236" w:rsidRPr="00180B8D" w:rsidRDefault="00D655E7">
            <w:pPr>
              <w:pStyle w:val="P68B1DB1-Normal2"/>
              <w:spacing w:after="0" w:line="240" w:lineRule="auto"/>
              <w:jc w:val="center"/>
              <w:rPr>
                <w:lang w:val="en-GB"/>
              </w:rPr>
            </w:pPr>
            <w:r w:rsidRPr="00180B8D">
              <w:rPr>
                <w:lang w:val="en-GB"/>
              </w:rPr>
              <w:t>5,5 %</w:t>
            </w:r>
          </w:p>
        </w:tc>
      </w:tr>
      <w:tr w:rsidR="00834BD7" w:rsidRPr="00180B8D" w14:paraId="53035FE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8ED7732" w14:textId="77777777" w:rsidR="00657236" w:rsidRPr="00180B8D" w:rsidRDefault="00D655E7">
            <w:pPr>
              <w:pStyle w:val="P68B1DB1-Normal2"/>
              <w:spacing w:after="0" w:line="240" w:lineRule="auto"/>
              <w:rPr>
                <w:lang w:val="en-GB"/>
              </w:rPr>
            </w:pPr>
            <w:r w:rsidRPr="00180B8D">
              <w:rPr>
                <w:lang w:val="en-GB"/>
              </w:rPr>
              <w:t>Health care, utilities, professional and technical activities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902B505" w14:textId="77777777" w:rsidR="00657236" w:rsidRPr="00180B8D" w:rsidRDefault="00D655E7">
            <w:pPr>
              <w:pStyle w:val="P68B1DB1-Normal2"/>
              <w:spacing w:after="0" w:line="240" w:lineRule="auto"/>
              <w:jc w:val="center"/>
              <w:rPr>
                <w:lang w:val="en-GB"/>
              </w:rPr>
            </w:pPr>
            <w:r w:rsidRPr="00180B8D">
              <w:rPr>
                <w:lang w:val="en-GB"/>
              </w:rPr>
              <w:t>1,5 %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7E76466" w14:textId="77777777" w:rsidR="00657236" w:rsidRPr="00180B8D" w:rsidRDefault="00D655E7">
            <w:pPr>
              <w:pStyle w:val="P68B1DB1-Normal2"/>
              <w:spacing w:after="0" w:line="240" w:lineRule="auto"/>
              <w:jc w:val="center"/>
              <w:rPr>
                <w:lang w:val="en-GB"/>
              </w:rPr>
            </w:pPr>
            <w:r w:rsidRPr="00180B8D">
              <w:rPr>
                <w:lang w:val="en-GB"/>
              </w:rPr>
              <w:t>5,0 %</w:t>
            </w:r>
          </w:p>
        </w:tc>
      </w:tr>
      <w:tr w:rsidR="00834BD7" w:rsidRPr="00180B8D" w14:paraId="1F3C3C61"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3828891" w14:textId="77777777" w:rsidR="00657236" w:rsidRPr="00180B8D" w:rsidRDefault="00D655E7">
            <w:pPr>
              <w:pStyle w:val="P68B1DB1-Normal2"/>
              <w:spacing w:after="0" w:line="240" w:lineRule="auto"/>
              <w:rPr>
                <w:lang w:val="en-GB"/>
              </w:rPr>
            </w:pPr>
            <w:proofErr w:type="gramStart"/>
            <w:r w:rsidRPr="00180B8D">
              <w:rPr>
                <w:lang w:val="en-GB"/>
              </w:rPr>
              <w:t>Other</w:t>
            </w:r>
            <w:proofErr w:type="gramEnd"/>
            <w:r w:rsidRPr="00180B8D">
              <w:rPr>
                <w:lang w:val="en-GB"/>
              </w:rPr>
              <w:t xml:space="preserve"> sector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01BDFB3F" w14:textId="77777777" w:rsidR="00657236" w:rsidRPr="00180B8D" w:rsidRDefault="00D655E7">
            <w:pPr>
              <w:pStyle w:val="P68B1DB1-Normal2"/>
              <w:spacing w:after="0" w:line="240" w:lineRule="auto"/>
              <w:jc w:val="center"/>
              <w:rPr>
                <w:lang w:val="en-GB"/>
              </w:rPr>
            </w:pPr>
            <w:r w:rsidRPr="00180B8D">
              <w:rPr>
                <w:lang w:val="en-GB"/>
              </w:rPr>
              <w:t>5,0 %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05C47D2" w14:textId="77777777" w:rsidR="00657236" w:rsidRPr="00180B8D" w:rsidRDefault="00D655E7">
            <w:pPr>
              <w:pStyle w:val="P68B1DB1-Normal2"/>
              <w:spacing w:after="0" w:line="240" w:lineRule="auto"/>
              <w:jc w:val="center"/>
              <w:rPr>
                <w:lang w:val="en-GB"/>
              </w:rPr>
            </w:pPr>
            <w:r w:rsidRPr="00180B8D">
              <w:rPr>
                <w:lang w:val="en-GB"/>
              </w:rPr>
              <w:t>12,0 %</w:t>
            </w:r>
          </w:p>
        </w:tc>
      </w:tr>
    </w:tbl>
    <w:p w14:paraId="64E50DCF" w14:textId="77777777" w:rsidR="00657236" w:rsidRPr="00180B8D" w:rsidRDefault="00D655E7">
      <w:pPr>
        <w:pStyle w:val="P68B1DB1-Normal2"/>
        <w:spacing w:after="0" w:line="240" w:lineRule="auto"/>
        <w:ind w:firstLine="567"/>
        <w:jc w:val="both"/>
        <w:rPr>
          <w:lang w:val="en-GB"/>
        </w:rPr>
      </w:pPr>
      <w:r w:rsidRPr="00180B8D">
        <w:rPr>
          <w:lang w:val="en-GB"/>
        </w:rPr>
        <w:t> </w:t>
      </w:r>
    </w:p>
    <w:p w14:paraId="424F9D5C" w14:textId="77777777" w:rsidR="00657236" w:rsidRPr="00180B8D" w:rsidRDefault="00D655E7">
      <w:pPr>
        <w:pStyle w:val="P68B1DB1-Normal4"/>
        <w:spacing w:after="0" w:line="240" w:lineRule="auto"/>
        <w:jc w:val="right"/>
        <w:rPr>
          <w:lang w:val="en-GB"/>
        </w:rPr>
      </w:pPr>
      <w:r w:rsidRPr="00180B8D">
        <w:rPr>
          <w:lang w:val="en-GB"/>
        </w:rPr>
        <w:t>Table 10</w:t>
      </w:r>
    </w:p>
    <w:p w14:paraId="0354A020" w14:textId="77777777" w:rsidR="00657236" w:rsidRPr="00180B8D" w:rsidRDefault="00D655E7">
      <w:pPr>
        <w:pStyle w:val="P68B1DB1-Normal2"/>
        <w:spacing w:after="0" w:line="240" w:lineRule="auto"/>
        <w:jc w:val="right"/>
        <w:rPr>
          <w:lang w:val="en-GB"/>
        </w:rPr>
      </w:pPr>
      <w:r w:rsidRPr="00180B8D">
        <w:rPr>
          <w:lang w:val="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943"/>
        <w:gridCol w:w="1528"/>
      </w:tblGrid>
      <w:tr w:rsidR="00657236" w:rsidRPr="00180B8D" w14:paraId="02EB4233" w14:textId="77777777">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608FACF6" w14:textId="44A11E6C" w:rsidR="00657236" w:rsidRPr="00180B8D" w:rsidRDefault="00D655E7">
            <w:pPr>
              <w:pStyle w:val="P68B1DB1-Normal1"/>
              <w:spacing w:after="0" w:line="240" w:lineRule="auto"/>
              <w:jc w:val="center"/>
              <w:rPr>
                <w:lang w:val="en-GB"/>
              </w:rPr>
            </w:pPr>
            <w:r w:rsidRPr="00180B8D">
              <w:rPr>
                <w:lang w:val="en-GB"/>
              </w:rPr>
              <w:t>Correlations between credit spread of counterparty and single-name hedge</w:t>
            </w:r>
          </w:p>
        </w:tc>
      </w:tr>
      <w:tr w:rsidR="00657236" w:rsidRPr="00180B8D" w14:paraId="27855FA1" w14:textId="77777777">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16574711" w14:textId="724B448B" w:rsidR="00657236" w:rsidRPr="00180B8D" w:rsidRDefault="00834BD7">
            <w:pPr>
              <w:pStyle w:val="P68B1DB1-Normal1"/>
              <w:spacing w:after="0" w:line="240" w:lineRule="auto"/>
              <w:jc w:val="center"/>
              <w:rPr>
                <w:lang w:val="en-GB"/>
              </w:rPr>
            </w:pPr>
            <w:r w:rsidRPr="00834BD7">
              <w:t>Single-name hedge h of counterparty i</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14:paraId="2D4E14EC" w14:textId="1B00EB5A" w:rsidR="00657236" w:rsidRPr="00180B8D" w:rsidRDefault="00D655E7">
            <w:pPr>
              <w:pStyle w:val="P68B1DB1-Normal1"/>
              <w:spacing w:after="0" w:line="240" w:lineRule="auto"/>
              <w:jc w:val="center"/>
              <w:rPr>
                <w:lang w:val="en-GB"/>
              </w:rPr>
            </w:pPr>
            <w:r w:rsidRPr="00180B8D">
              <w:rPr>
                <w:lang w:val="en-GB"/>
              </w:rPr>
              <w:t xml:space="preserve">Value of </w:t>
            </w:r>
            <w:proofErr w:type="spellStart"/>
            <w:r w:rsidRPr="00180B8D">
              <w:rPr>
                <w:lang w:val="en-GB"/>
              </w:rPr>
              <w:t>r</w:t>
            </w:r>
            <w:r w:rsidRPr="00180B8D">
              <w:rPr>
                <w:vertAlign w:val="subscript"/>
                <w:lang w:val="en-GB"/>
              </w:rPr>
              <w:t>hc</w:t>
            </w:r>
            <w:proofErr w:type="spellEnd"/>
          </w:p>
        </w:tc>
      </w:tr>
      <w:tr w:rsidR="00657236" w:rsidRPr="00180B8D" w14:paraId="544BA1D7"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2B25850" w14:textId="191F8558" w:rsidR="00657236" w:rsidRPr="00180B8D" w:rsidRDefault="00834BD7">
            <w:pPr>
              <w:pStyle w:val="P68B1DB1-Normal2"/>
              <w:spacing w:after="0" w:line="240" w:lineRule="auto"/>
              <w:rPr>
                <w:lang w:val="en-GB"/>
              </w:rPr>
            </w:pPr>
            <w:r w:rsidRPr="00834BD7">
              <w:t>Counterparties </w:t>
            </w:r>
            <w:r w:rsidRPr="00180B8D">
              <w:rPr>
                <w:lang w:val="en-GB"/>
              </w:rPr>
              <w:t xml:space="preserve">referred to in </w:t>
            </w:r>
            <w:r>
              <w:rPr>
                <w:lang w:val="en-GB"/>
              </w:rPr>
              <w:t>sub</w:t>
            </w:r>
            <w:r w:rsidRPr="00180B8D">
              <w:rPr>
                <w:lang w:val="en-GB"/>
              </w:rPr>
              <w:t>paragraph 122.1.1.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F2D113" w14:textId="77777777" w:rsidR="00657236" w:rsidRPr="00180B8D" w:rsidRDefault="00D655E7">
            <w:pPr>
              <w:pStyle w:val="P68B1DB1-Normal2"/>
              <w:spacing w:after="0" w:line="240" w:lineRule="auto"/>
              <w:jc w:val="center"/>
              <w:rPr>
                <w:lang w:val="en-GB"/>
              </w:rPr>
            </w:pPr>
            <w:r w:rsidRPr="00180B8D">
              <w:rPr>
                <w:lang w:val="en-GB"/>
              </w:rPr>
              <w:t>100 %</w:t>
            </w:r>
          </w:p>
        </w:tc>
      </w:tr>
      <w:tr w:rsidR="00657236" w:rsidRPr="00180B8D" w14:paraId="7E66900F"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748C8A12" w14:textId="7FA652CB" w:rsidR="00657236" w:rsidRPr="00180B8D" w:rsidRDefault="00834BD7">
            <w:pPr>
              <w:pStyle w:val="P68B1DB1-Normal2"/>
              <w:spacing w:after="0" w:line="240" w:lineRule="auto"/>
              <w:rPr>
                <w:lang w:val="en-GB"/>
              </w:rPr>
            </w:pPr>
            <w:r w:rsidRPr="00834BD7">
              <w:t>Counterparties </w:t>
            </w:r>
            <w:r w:rsidRPr="00180B8D">
              <w:rPr>
                <w:lang w:val="en-GB"/>
              </w:rPr>
              <w:t xml:space="preserve">referred to in </w:t>
            </w:r>
            <w:r>
              <w:rPr>
                <w:lang w:val="en-GB"/>
              </w:rPr>
              <w:t>sub</w:t>
            </w:r>
            <w:r w:rsidRPr="00180B8D">
              <w:rPr>
                <w:lang w:val="en-GB"/>
              </w:rPr>
              <w:t>paragraph 122.1.2.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4E99D3FE" w14:textId="77777777" w:rsidR="00657236" w:rsidRPr="00180B8D" w:rsidRDefault="00D655E7">
            <w:pPr>
              <w:pStyle w:val="P68B1DB1-Normal2"/>
              <w:spacing w:after="0" w:line="240" w:lineRule="auto"/>
              <w:jc w:val="center"/>
              <w:rPr>
                <w:lang w:val="en-GB"/>
              </w:rPr>
            </w:pPr>
            <w:r w:rsidRPr="00180B8D">
              <w:rPr>
                <w:lang w:val="en-GB"/>
              </w:rPr>
              <w:t>80 %</w:t>
            </w:r>
          </w:p>
        </w:tc>
      </w:tr>
      <w:tr w:rsidR="00657236" w:rsidRPr="00180B8D" w14:paraId="38475654" w14:textId="77777777">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3FB19905" w14:textId="4B22E546" w:rsidR="00657236" w:rsidRPr="00180B8D" w:rsidRDefault="00834BD7">
            <w:pPr>
              <w:pStyle w:val="P68B1DB1-Normal2"/>
              <w:spacing w:after="0" w:line="240" w:lineRule="auto"/>
              <w:rPr>
                <w:lang w:val="en-GB"/>
              </w:rPr>
            </w:pPr>
            <w:r w:rsidRPr="00834BD7">
              <w:t>Counterparties</w:t>
            </w:r>
            <w:r w:rsidRPr="00180B8D">
              <w:rPr>
                <w:lang w:val="en-GB"/>
              </w:rPr>
              <w:t xml:space="preserve"> referred to in </w:t>
            </w:r>
            <w:r>
              <w:rPr>
                <w:lang w:val="en-GB"/>
              </w:rPr>
              <w:t>sub</w:t>
            </w:r>
            <w:r w:rsidRPr="00180B8D">
              <w:rPr>
                <w:lang w:val="en-GB"/>
              </w:rPr>
              <w:t>paragraph 122.1.3.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14:paraId="1B481B2D" w14:textId="77777777" w:rsidR="00657236" w:rsidRPr="00180B8D" w:rsidRDefault="00D655E7">
            <w:pPr>
              <w:pStyle w:val="P68B1DB1-Normal2"/>
              <w:spacing w:after="0" w:line="240" w:lineRule="auto"/>
              <w:jc w:val="center"/>
              <w:rPr>
                <w:lang w:val="en-GB"/>
              </w:rPr>
            </w:pPr>
            <w:r w:rsidRPr="00180B8D">
              <w:rPr>
                <w:lang w:val="en-GB"/>
              </w:rPr>
              <w:t>50 %</w:t>
            </w:r>
          </w:p>
        </w:tc>
      </w:tr>
    </w:tbl>
    <w:p w14:paraId="23C7AB36" w14:textId="77777777" w:rsidR="00657236" w:rsidRPr="00180B8D" w:rsidRDefault="00D655E7">
      <w:pPr>
        <w:pStyle w:val="P68B1DB1-Normal2"/>
        <w:spacing w:after="0" w:line="240" w:lineRule="auto"/>
        <w:ind w:firstLine="567"/>
        <w:jc w:val="both"/>
        <w:rPr>
          <w:lang w:val="en-GB"/>
        </w:rPr>
      </w:pPr>
      <w:r w:rsidRPr="00180B8D">
        <w:rPr>
          <w:lang w:val="en-GB"/>
        </w:rPr>
        <w:t> </w:t>
      </w:r>
    </w:p>
    <w:p w14:paraId="3DFFF02A" w14:textId="77777777" w:rsidR="00657236" w:rsidRPr="00180B8D" w:rsidRDefault="00D655E7">
      <w:pPr>
        <w:pStyle w:val="P68B1DB1-Normal2"/>
        <w:spacing w:after="0" w:line="240" w:lineRule="auto"/>
        <w:ind w:firstLine="567"/>
        <w:jc w:val="both"/>
        <w:rPr>
          <w:lang w:val="en-GB"/>
        </w:rPr>
      </w:pPr>
      <w:r w:rsidRPr="00180B8D">
        <w:rPr>
          <w:b/>
          <w:lang w:val="en-GB"/>
        </w:rPr>
        <w:t>115.</w:t>
      </w:r>
      <w:r w:rsidRPr="00180B8D">
        <w:rPr>
          <w:lang w:val="en-GB"/>
        </w:rPr>
        <w:t xml:space="preserve"> The bank that meets the condition referred to in subparagraph 113.2. shall calculate the own funds requirements for CVA risk as follows:</w:t>
      </w:r>
    </w:p>
    <w:p w14:paraId="1EAD41EB" w14:textId="7474C1F3" w:rsidR="00657236" w:rsidRPr="00180B8D" w:rsidRDefault="00834BD7">
      <w:pPr>
        <w:pStyle w:val="P68B1DB1-Normal2"/>
        <w:spacing w:after="0" w:line="240" w:lineRule="auto"/>
        <w:jc w:val="center"/>
        <w:rPr>
          <w:lang w:val="en-GB"/>
        </w:rPr>
      </w:pPr>
      <w:r w:rsidRPr="00834BD7">
        <w:rPr>
          <w:noProof/>
        </w:rPr>
        <w:drawing>
          <wp:inline distT="0" distB="0" distL="0" distR="0" wp14:anchorId="3195FD78" wp14:editId="285AB395">
            <wp:extent cx="5568890" cy="855021"/>
            <wp:effectExtent l="0" t="0" r="0" b="2540"/>
            <wp:docPr id="583644879" name="Picture 3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image"/>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614277" cy="861990"/>
                    </a:xfrm>
                    <a:prstGeom prst="rect">
                      <a:avLst/>
                    </a:prstGeom>
                    <a:noFill/>
                    <a:ln>
                      <a:noFill/>
                    </a:ln>
                  </pic:spPr>
                </pic:pic>
              </a:graphicData>
            </a:graphic>
          </wp:inline>
        </w:drawing>
      </w:r>
      <w:r w:rsidRPr="00834BD7">
        <w:rPr>
          <w:noProof/>
          <w:lang w:val="en-GB"/>
        </w:rPr>
        <w:t xml:space="preserve"> </w:t>
      </w:r>
    </w:p>
    <w:p w14:paraId="77C692DC" w14:textId="77777777" w:rsidR="00657236" w:rsidRPr="00180B8D" w:rsidRDefault="00D655E7">
      <w:pPr>
        <w:pStyle w:val="P68B1DB1-Normal2"/>
        <w:spacing w:after="0" w:line="240" w:lineRule="auto"/>
        <w:ind w:firstLine="567"/>
        <w:jc w:val="both"/>
        <w:rPr>
          <w:lang w:val="en-GB"/>
        </w:rPr>
      </w:pPr>
      <w:r w:rsidRPr="00180B8D">
        <w:rPr>
          <w:lang w:val="en-GB"/>
        </w:rPr>
        <w:t xml:space="preserve">where all the terms are as set out in </w:t>
      </w:r>
      <w:r w:rsidRPr="00180B8D">
        <w:rPr>
          <w:lang w:val="en-GB"/>
        </w:rPr>
        <w:t>paragraph 114.</w:t>
      </w:r>
    </w:p>
    <w:p w14:paraId="17FCEE7F" w14:textId="77777777" w:rsidR="00657236" w:rsidRPr="00180B8D" w:rsidRDefault="00D655E7">
      <w:pPr>
        <w:pStyle w:val="P68B1DB1-Normal2"/>
        <w:spacing w:after="0" w:line="240" w:lineRule="auto"/>
        <w:jc w:val="center"/>
        <w:rPr>
          <w:lang w:val="en-GB"/>
        </w:rPr>
      </w:pPr>
      <w:r w:rsidRPr="00180B8D">
        <w:rPr>
          <w:lang w:val="en-GB"/>
        </w:rPr>
        <w:t> </w:t>
      </w:r>
    </w:p>
    <w:p w14:paraId="5D563941" w14:textId="77777777" w:rsidR="00657236" w:rsidRPr="00180B8D" w:rsidRDefault="00D655E7">
      <w:pPr>
        <w:pStyle w:val="P68B1DB1-Normal1"/>
        <w:spacing w:after="0" w:line="240" w:lineRule="auto"/>
        <w:jc w:val="center"/>
        <w:rPr>
          <w:lang w:val="en-GB"/>
        </w:rPr>
      </w:pPr>
      <w:r w:rsidRPr="00180B8D">
        <w:rPr>
          <w:lang w:val="en-GB"/>
        </w:rPr>
        <w:t>CHAPTER VI</w:t>
      </w:r>
    </w:p>
    <w:p w14:paraId="4FDF5884" w14:textId="77777777" w:rsidR="00657236" w:rsidRPr="00180B8D" w:rsidRDefault="00D655E7">
      <w:pPr>
        <w:pStyle w:val="P68B1DB1-Normal1"/>
        <w:spacing w:after="0" w:line="240" w:lineRule="auto"/>
        <w:jc w:val="center"/>
        <w:rPr>
          <w:lang w:val="en-GB"/>
        </w:rPr>
      </w:pPr>
      <w:r w:rsidRPr="00180B8D">
        <w:rPr>
          <w:lang w:val="en-GB"/>
        </w:rPr>
        <w:t>SIMPLIFIED APPROACH</w:t>
      </w:r>
    </w:p>
    <w:p w14:paraId="46539AFE" w14:textId="69A56CF3" w:rsidR="00657236" w:rsidRPr="00180B8D" w:rsidRDefault="00D655E7">
      <w:pPr>
        <w:pStyle w:val="P68B1DB1-Normal2"/>
        <w:spacing w:after="0" w:line="240" w:lineRule="auto"/>
        <w:ind w:firstLine="567"/>
        <w:jc w:val="both"/>
        <w:rPr>
          <w:lang w:val="en-GB"/>
        </w:rPr>
      </w:pPr>
      <w:r w:rsidRPr="00180B8D">
        <w:rPr>
          <w:b/>
          <w:lang w:val="en-GB"/>
        </w:rPr>
        <w:t>116.</w:t>
      </w:r>
      <w:r w:rsidRPr="00180B8D">
        <w:rPr>
          <w:lang w:val="en-GB"/>
        </w:rPr>
        <w:t xml:space="preserve"> A bank which, in accordance with Regulation No 220/2025 on the treatment of counterparty credit risk for banks, fulfils all the conditions for the use of simplified methods for calculating the exposure value or to which the National Bank of Moldova has allowed it to apply the approach set out in the initial exposure method, may calculate the own funds requirements for CVA risk as the risk-weighted exposure amounts for counterparty risk for non-trading book and </w:t>
      </w:r>
      <w:r w:rsidRPr="00180B8D">
        <w:rPr>
          <w:lang w:val="en-GB"/>
        </w:rPr>
        <w:lastRenderedPageBreak/>
        <w:t>trading book positions, respectively, specifie</w:t>
      </w:r>
      <w:r w:rsidRPr="00180B8D">
        <w:rPr>
          <w:lang w:val="en-GB"/>
        </w:rPr>
        <w:t xml:space="preserve">d in the </w:t>
      </w:r>
      <w:r w:rsidR="00834BD7" w:rsidRPr="00180B8D">
        <w:rPr>
          <w:lang w:val="en-GB"/>
        </w:rPr>
        <w:t xml:space="preserve">provisions </w:t>
      </w:r>
      <w:r w:rsidR="00834BD7">
        <w:rPr>
          <w:lang w:val="en-GB"/>
        </w:rPr>
        <w:t xml:space="preserve">of the </w:t>
      </w:r>
      <w:r w:rsidRPr="00180B8D">
        <w:rPr>
          <w:lang w:val="en-GB"/>
        </w:rPr>
        <w:t>regulat</w:t>
      </w:r>
      <w:r w:rsidR="00834BD7">
        <w:rPr>
          <w:lang w:val="en-GB"/>
        </w:rPr>
        <w:t>ions</w:t>
      </w:r>
      <w:r w:rsidRPr="00180B8D">
        <w:rPr>
          <w:lang w:val="en-GB"/>
        </w:rPr>
        <w:t xml:space="preserve"> for banks’ own funds and capital requirements, divided by 10.</w:t>
      </w:r>
    </w:p>
    <w:p w14:paraId="106DD05A" w14:textId="208D6A5F" w:rsidR="00657236" w:rsidRPr="00180B8D" w:rsidRDefault="00D655E7">
      <w:pPr>
        <w:pStyle w:val="P68B1DB1-Normal2"/>
        <w:spacing w:after="0" w:line="240" w:lineRule="auto"/>
        <w:ind w:firstLine="567"/>
        <w:jc w:val="both"/>
        <w:rPr>
          <w:lang w:val="en-GB"/>
        </w:rPr>
      </w:pPr>
      <w:r w:rsidRPr="00180B8D">
        <w:rPr>
          <w:b/>
          <w:lang w:val="en-GB"/>
        </w:rPr>
        <w:t>117.</w:t>
      </w:r>
      <w:r w:rsidRPr="00180B8D">
        <w:rPr>
          <w:lang w:val="en-GB"/>
        </w:rPr>
        <w:t xml:space="preserve"> For the purposes of the calculation referred to in paragraph 116, the following requirements </w:t>
      </w:r>
      <w:r w:rsidR="00834BD7">
        <w:rPr>
          <w:lang w:val="en-GB"/>
        </w:rPr>
        <w:t xml:space="preserve">shall </w:t>
      </w:r>
      <w:r w:rsidRPr="00180B8D">
        <w:rPr>
          <w:lang w:val="en-GB"/>
        </w:rPr>
        <w:t>apply:</w:t>
      </w:r>
    </w:p>
    <w:p w14:paraId="5FDECA82" w14:textId="77777777" w:rsidR="00657236" w:rsidRPr="00180B8D" w:rsidRDefault="00D655E7">
      <w:pPr>
        <w:pStyle w:val="P68B1DB1-Normal2"/>
        <w:spacing w:after="0" w:line="240" w:lineRule="auto"/>
        <w:ind w:firstLine="567"/>
        <w:jc w:val="both"/>
        <w:rPr>
          <w:lang w:val="en-GB"/>
        </w:rPr>
      </w:pPr>
      <w:r w:rsidRPr="00180B8D">
        <w:rPr>
          <w:lang w:val="en-GB"/>
        </w:rPr>
        <w:t xml:space="preserve">117.1. only transactions subject to the own </w:t>
      </w:r>
      <w:proofErr w:type="gramStart"/>
      <w:r w:rsidRPr="00180B8D">
        <w:rPr>
          <w:lang w:val="en-GB"/>
        </w:rPr>
        <w:t>funds</w:t>
      </w:r>
      <w:proofErr w:type="gramEnd"/>
      <w:r w:rsidRPr="00180B8D">
        <w:rPr>
          <w:lang w:val="en-GB"/>
        </w:rPr>
        <w:t xml:space="preserve"> requirements for CVA risk set out in paragraphs 4 to 10 shall be subject to this calculation;</w:t>
      </w:r>
    </w:p>
    <w:p w14:paraId="010BD7D0" w14:textId="77777777" w:rsidR="00657236" w:rsidRPr="00180B8D" w:rsidRDefault="00D655E7">
      <w:pPr>
        <w:pStyle w:val="P68B1DB1-Normal2"/>
        <w:spacing w:after="0" w:line="240" w:lineRule="auto"/>
        <w:ind w:firstLine="567"/>
        <w:jc w:val="both"/>
        <w:rPr>
          <w:lang w:val="en-GB"/>
        </w:rPr>
      </w:pPr>
      <w:r w:rsidRPr="00180B8D">
        <w:rPr>
          <w:lang w:val="en-GB"/>
        </w:rPr>
        <w:t>117.2. credit derivatives that are recognised as internal hedges against counterparty risk exposures shall not be included in this calculation.</w:t>
      </w:r>
    </w:p>
    <w:p w14:paraId="3E630055" w14:textId="77777777" w:rsidR="00657236" w:rsidRPr="00180B8D" w:rsidRDefault="00D655E7">
      <w:pPr>
        <w:pStyle w:val="P68B1DB1-Normal2"/>
        <w:spacing w:after="0" w:line="240" w:lineRule="auto"/>
        <w:ind w:firstLine="567"/>
        <w:jc w:val="both"/>
        <w:rPr>
          <w:lang w:val="en-GB"/>
        </w:rPr>
      </w:pPr>
      <w:r w:rsidRPr="00180B8D">
        <w:rPr>
          <w:b/>
          <w:lang w:val="en-GB"/>
        </w:rPr>
        <w:t>118.</w:t>
      </w:r>
      <w:r w:rsidRPr="00180B8D">
        <w:rPr>
          <w:lang w:val="en-GB"/>
        </w:rPr>
        <w:t xml:space="preserve"> A bank that no longer meets one or more of the conditions for the use of simplified methods for calculating the exposure value shall comply with the provisions for non-compliance with the conditions for the use of simplified methods for calculating the exposure value for derivatives laid down in Regulation No 220/2025 on the treatment of counterparty credit risk for banks.</w:t>
      </w:r>
    </w:p>
    <w:p w14:paraId="77109870" w14:textId="77777777" w:rsidR="00657236" w:rsidRPr="00180B8D" w:rsidRDefault="00D655E7">
      <w:pPr>
        <w:pStyle w:val="P68B1DB1-Normal2"/>
        <w:spacing w:after="0" w:line="240" w:lineRule="auto"/>
        <w:ind w:firstLine="567"/>
        <w:jc w:val="both"/>
        <w:rPr>
          <w:lang w:val="en-GB"/>
        </w:rPr>
      </w:pPr>
      <w:r w:rsidRPr="00180B8D">
        <w:rPr>
          <w:lang w:val="en-GB"/>
        </w:rPr>
        <w:t> </w:t>
      </w:r>
    </w:p>
    <w:p w14:paraId="52B50B01" w14:textId="77777777" w:rsidR="00657236" w:rsidRPr="00180B8D" w:rsidRDefault="00D655E7">
      <w:pPr>
        <w:pStyle w:val="P68B1DB1-Normal1"/>
        <w:spacing w:after="0" w:line="240" w:lineRule="auto"/>
        <w:jc w:val="center"/>
        <w:rPr>
          <w:lang w:val="en-GB"/>
        </w:rPr>
      </w:pPr>
      <w:r w:rsidRPr="00180B8D">
        <w:rPr>
          <w:lang w:val="en-GB"/>
        </w:rPr>
        <w:t>CHAPTER VII</w:t>
      </w:r>
    </w:p>
    <w:p w14:paraId="06740B32" w14:textId="7996534F" w:rsidR="00657236" w:rsidRPr="00180B8D" w:rsidRDefault="00D655E7">
      <w:pPr>
        <w:pStyle w:val="P68B1DB1-Normal1"/>
        <w:spacing w:after="0" w:line="240" w:lineRule="auto"/>
        <w:jc w:val="center"/>
        <w:rPr>
          <w:lang w:val="en-GB"/>
        </w:rPr>
      </w:pPr>
      <w:r w:rsidRPr="00180B8D">
        <w:rPr>
          <w:lang w:val="en-GB"/>
        </w:rPr>
        <w:t xml:space="preserve">ELIGIBLE </w:t>
      </w:r>
      <w:r w:rsidR="00B7500A">
        <w:rPr>
          <w:lang w:val="en-GB"/>
        </w:rPr>
        <w:t>HEDGES</w:t>
      </w:r>
    </w:p>
    <w:p w14:paraId="2CDE2ADF" w14:textId="5C5D65D5" w:rsidR="00657236" w:rsidRPr="00180B8D" w:rsidRDefault="00D655E7">
      <w:pPr>
        <w:pStyle w:val="P68B1DB1-Normal2"/>
        <w:spacing w:after="0" w:line="240" w:lineRule="auto"/>
        <w:ind w:firstLine="567"/>
        <w:jc w:val="both"/>
        <w:rPr>
          <w:lang w:val="en-GB"/>
        </w:rPr>
      </w:pPr>
      <w:r w:rsidRPr="00180B8D">
        <w:rPr>
          <w:b/>
          <w:lang w:val="en-GB"/>
        </w:rPr>
        <w:t>119.</w:t>
      </w:r>
      <w:r w:rsidRPr="00180B8D">
        <w:rPr>
          <w:lang w:val="en-GB"/>
        </w:rPr>
        <w:t xml:space="preserve"> Positions in hedging instruments shall be recognised as </w:t>
      </w:r>
      <w:r w:rsidR="00B7500A">
        <w:rPr>
          <w:lang w:val="en-GB"/>
        </w:rPr>
        <w:t>“</w:t>
      </w:r>
      <w:r w:rsidRPr="00180B8D">
        <w:rPr>
          <w:lang w:val="en-GB"/>
        </w:rPr>
        <w:t>eligible hedges</w:t>
      </w:r>
      <w:r w:rsidR="00B7500A">
        <w:rPr>
          <w:lang w:val="en-GB"/>
        </w:rPr>
        <w:t>”</w:t>
      </w:r>
      <w:r w:rsidRPr="00180B8D">
        <w:rPr>
          <w:lang w:val="en-GB"/>
        </w:rPr>
        <w:t xml:space="preserve"> for the calculation of </w:t>
      </w:r>
      <w:r w:rsidR="00B7500A">
        <w:rPr>
          <w:lang w:val="en-GB"/>
        </w:rPr>
        <w:t xml:space="preserve">the </w:t>
      </w:r>
      <w:r w:rsidRPr="00180B8D">
        <w:rPr>
          <w:lang w:val="en-GB"/>
        </w:rPr>
        <w:t xml:space="preserve">own </w:t>
      </w:r>
      <w:proofErr w:type="gramStart"/>
      <w:r w:rsidRPr="00180B8D">
        <w:rPr>
          <w:lang w:val="en-GB"/>
        </w:rPr>
        <w:t>funds</w:t>
      </w:r>
      <w:proofErr w:type="gramEnd"/>
      <w:r w:rsidRPr="00180B8D">
        <w:rPr>
          <w:lang w:val="en-GB"/>
        </w:rPr>
        <w:t xml:space="preserve"> requirements for CVA risk in accordance with paragraphs 17–20 and 113–115 where those positions meet all of the following requirements:</w:t>
      </w:r>
    </w:p>
    <w:p w14:paraId="621F7F35" w14:textId="237F9775" w:rsidR="00657236" w:rsidRPr="00180B8D" w:rsidRDefault="00D655E7">
      <w:pPr>
        <w:pStyle w:val="P68B1DB1-Normal2"/>
        <w:spacing w:after="0" w:line="240" w:lineRule="auto"/>
        <w:ind w:firstLine="567"/>
        <w:jc w:val="both"/>
        <w:rPr>
          <w:lang w:val="en-GB"/>
        </w:rPr>
      </w:pPr>
      <w:r w:rsidRPr="00180B8D">
        <w:rPr>
          <w:lang w:val="en-GB"/>
        </w:rPr>
        <w:t xml:space="preserve">119.1. </w:t>
      </w:r>
      <w:r w:rsidR="00BA3D5E">
        <w:rPr>
          <w:lang w:val="en-GB"/>
        </w:rPr>
        <w:t xml:space="preserve">they </w:t>
      </w:r>
      <w:r w:rsidRPr="00180B8D">
        <w:rPr>
          <w:lang w:val="en-GB"/>
        </w:rPr>
        <w:t>are used to mitigate CVA risk and are managed</w:t>
      </w:r>
      <w:r w:rsidR="00BA3D5E">
        <w:rPr>
          <w:lang w:val="en-GB"/>
        </w:rPr>
        <w:t xml:space="preserve"> as </w:t>
      </w:r>
      <w:proofErr w:type="gramStart"/>
      <w:r w:rsidR="00BA3D5E">
        <w:rPr>
          <w:lang w:val="en-GB"/>
        </w:rPr>
        <w:t>such</w:t>
      </w:r>
      <w:r w:rsidRPr="00180B8D">
        <w:rPr>
          <w:lang w:val="en-GB"/>
        </w:rPr>
        <w:t>;</w:t>
      </w:r>
      <w:proofErr w:type="gramEnd"/>
    </w:p>
    <w:p w14:paraId="6D5FF80E" w14:textId="5A00C6B9" w:rsidR="00657236" w:rsidRPr="00180B8D" w:rsidRDefault="00D655E7">
      <w:pPr>
        <w:pStyle w:val="P68B1DB1-Normal2"/>
        <w:spacing w:after="0" w:line="240" w:lineRule="auto"/>
        <w:ind w:firstLine="567"/>
        <w:jc w:val="both"/>
        <w:rPr>
          <w:lang w:val="en-GB"/>
        </w:rPr>
      </w:pPr>
      <w:r w:rsidRPr="005F0F0B">
        <w:rPr>
          <w:lang w:val="en-GB"/>
        </w:rPr>
        <w:t xml:space="preserve">119.2. </w:t>
      </w:r>
      <w:r w:rsidR="00BA3D5E" w:rsidRPr="005F0F0B">
        <w:rPr>
          <w:lang w:val="en-GB"/>
        </w:rPr>
        <w:t>they can</w:t>
      </w:r>
      <w:r w:rsidRPr="005F0F0B">
        <w:rPr>
          <w:lang w:val="en-GB"/>
        </w:rPr>
        <w:t xml:space="preserve"> be opened</w:t>
      </w:r>
      <w:r w:rsidR="00BA3D5E" w:rsidRPr="005F0F0B">
        <w:rPr>
          <w:lang w:val="en-GB"/>
        </w:rPr>
        <w:t xml:space="preserve"> into</w:t>
      </w:r>
      <w:r w:rsidRPr="005F0F0B">
        <w:rPr>
          <w:lang w:val="en-GB"/>
        </w:rPr>
        <w:t xml:space="preserve"> with third parties or with the bank's trading book as an internal hedge, in which case </w:t>
      </w:r>
      <w:r w:rsidR="00BA3D5E" w:rsidRPr="005F0F0B">
        <w:rPr>
          <w:lang w:val="en-GB"/>
        </w:rPr>
        <w:t>they are to</w:t>
      </w:r>
      <w:r w:rsidRPr="005F0F0B">
        <w:rPr>
          <w:lang w:val="en-GB"/>
        </w:rPr>
        <w:t xml:space="preserve"> comply with the provisions referred to in the </w:t>
      </w:r>
      <w:r w:rsidR="00BA3D5E" w:rsidRPr="005F0F0B">
        <w:rPr>
          <w:lang w:val="en-GB"/>
        </w:rPr>
        <w:t xml:space="preserve">regulation on the treatment of the </w:t>
      </w:r>
      <w:r w:rsidRPr="005F0F0B">
        <w:rPr>
          <w:lang w:val="en-GB"/>
        </w:rPr>
        <w:t xml:space="preserve">market risk </w:t>
      </w:r>
      <w:r w:rsidR="00BA3D5E" w:rsidRPr="005F0F0B">
        <w:rPr>
          <w:lang w:val="en-GB"/>
        </w:rPr>
        <w:t>according to the s</w:t>
      </w:r>
      <w:r w:rsidRPr="005F0F0B">
        <w:rPr>
          <w:lang w:val="en-GB"/>
        </w:rPr>
        <w:t xml:space="preserve">tandardised </w:t>
      </w:r>
      <w:proofErr w:type="gramStart"/>
      <w:r w:rsidR="00BA3D5E" w:rsidRPr="005F0F0B">
        <w:rPr>
          <w:lang w:val="en-GB"/>
        </w:rPr>
        <w:t>a</w:t>
      </w:r>
      <w:r w:rsidRPr="005F0F0B">
        <w:rPr>
          <w:lang w:val="en-GB"/>
        </w:rPr>
        <w:t>pproach;</w:t>
      </w:r>
      <w:proofErr w:type="gramEnd"/>
    </w:p>
    <w:p w14:paraId="15BC2F31" w14:textId="17F0299D" w:rsidR="00657236" w:rsidRPr="00180B8D" w:rsidRDefault="00D655E7">
      <w:pPr>
        <w:pStyle w:val="P68B1DB1-Normal2"/>
        <w:spacing w:after="0" w:line="240" w:lineRule="auto"/>
        <w:ind w:firstLine="567"/>
        <w:jc w:val="both"/>
        <w:rPr>
          <w:lang w:val="en-GB"/>
        </w:rPr>
      </w:pPr>
      <w:r w:rsidRPr="00180B8D">
        <w:rPr>
          <w:lang w:val="en-GB"/>
        </w:rPr>
        <w:t>119.3. only positions in hedging instruments</w:t>
      </w:r>
      <w:r w:rsidR="005F0F0B">
        <w:rPr>
          <w:lang w:val="en-GB"/>
        </w:rPr>
        <w:t xml:space="preserve"> as</w:t>
      </w:r>
      <w:r w:rsidRPr="00180B8D">
        <w:rPr>
          <w:lang w:val="en-GB"/>
        </w:rPr>
        <w:t xml:space="preserve"> referred to in paragraphs 121 and 122 </w:t>
      </w:r>
      <w:r w:rsidR="005F0F0B">
        <w:rPr>
          <w:lang w:val="en-GB"/>
        </w:rPr>
        <w:t>can</w:t>
      </w:r>
      <w:r w:rsidRPr="00180B8D">
        <w:rPr>
          <w:lang w:val="en-GB"/>
        </w:rPr>
        <w:t xml:space="preserve"> be recognised as eligible hedges for the calculation of </w:t>
      </w:r>
      <w:r w:rsidR="005F0F0B">
        <w:rPr>
          <w:lang w:val="en-GB"/>
        </w:rPr>
        <w:t xml:space="preserve">the </w:t>
      </w:r>
      <w:r w:rsidRPr="00180B8D">
        <w:rPr>
          <w:lang w:val="en-GB"/>
        </w:rPr>
        <w:t xml:space="preserve">own </w:t>
      </w:r>
      <w:proofErr w:type="gramStart"/>
      <w:r w:rsidRPr="00180B8D">
        <w:rPr>
          <w:lang w:val="en-GB"/>
        </w:rPr>
        <w:t>funds</w:t>
      </w:r>
      <w:proofErr w:type="gramEnd"/>
      <w:r w:rsidRPr="00180B8D">
        <w:rPr>
          <w:lang w:val="en-GB"/>
        </w:rPr>
        <w:t xml:space="preserve"> requirements for CVA risk in accordance with paragraphs 17-20 and 113-115.</w:t>
      </w:r>
    </w:p>
    <w:p w14:paraId="6F6B3940" w14:textId="71871275" w:rsidR="00657236" w:rsidRPr="00180B8D" w:rsidRDefault="00D655E7">
      <w:pPr>
        <w:pStyle w:val="P68B1DB1-Normal2"/>
        <w:spacing w:after="0" w:line="240" w:lineRule="auto"/>
        <w:ind w:firstLine="567"/>
        <w:jc w:val="both"/>
        <w:rPr>
          <w:lang w:val="en-GB"/>
        </w:rPr>
      </w:pPr>
      <w:r w:rsidRPr="00180B8D">
        <w:rPr>
          <w:b/>
          <w:lang w:val="en-GB"/>
        </w:rPr>
        <w:t>120.</w:t>
      </w:r>
      <w:r w:rsidRPr="00180B8D">
        <w:rPr>
          <w:lang w:val="en-GB"/>
        </w:rPr>
        <w:t xml:space="preserve"> For the purposes of calculating the own funds requirements for CVA risk in accordance with paragraphs 17–20, positions in hedging instruments shall be recognised as eligible hedges </w:t>
      </w:r>
      <w:r w:rsidR="005F0F0B">
        <w:rPr>
          <w:lang w:val="en-GB"/>
        </w:rPr>
        <w:t>where</w:t>
      </w:r>
      <w:r w:rsidRPr="00180B8D">
        <w:rPr>
          <w:lang w:val="en-GB"/>
        </w:rPr>
        <w:t xml:space="preserve">, in addition to the conditions set out in </w:t>
      </w:r>
      <w:r w:rsidR="005F0F0B">
        <w:rPr>
          <w:lang w:val="en-GB"/>
        </w:rPr>
        <w:t>sub</w:t>
      </w:r>
      <w:r w:rsidRPr="00180B8D">
        <w:rPr>
          <w:lang w:val="en-GB"/>
        </w:rPr>
        <w:t xml:space="preserve">paragraphs 119.1–119.3, those hedging instruments form a single position </w:t>
      </w:r>
      <w:r w:rsidR="005F0F0B">
        <w:rPr>
          <w:lang w:val="en-GB"/>
        </w:rPr>
        <w:t>in</w:t>
      </w:r>
      <w:r w:rsidRPr="00180B8D">
        <w:rPr>
          <w:lang w:val="en-GB"/>
        </w:rPr>
        <w:t xml:space="preserve"> an eligible hedge and are not split into more than one position </w:t>
      </w:r>
      <w:r w:rsidR="005F0F0B">
        <w:rPr>
          <w:lang w:val="en-GB"/>
        </w:rPr>
        <w:t>in</w:t>
      </w:r>
      <w:r w:rsidRPr="00180B8D">
        <w:rPr>
          <w:lang w:val="en-GB"/>
        </w:rPr>
        <w:t xml:space="preserve"> more than one eligible hedge.</w:t>
      </w:r>
    </w:p>
    <w:p w14:paraId="7F802CE7" w14:textId="77777777" w:rsidR="00657236" w:rsidRPr="00180B8D" w:rsidRDefault="00D655E7">
      <w:pPr>
        <w:pStyle w:val="P68B1DB1-Normal2"/>
        <w:spacing w:after="0" w:line="240" w:lineRule="auto"/>
        <w:ind w:firstLine="567"/>
        <w:jc w:val="both"/>
        <w:rPr>
          <w:lang w:val="en-GB"/>
        </w:rPr>
      </w:pPr>
      <w:r w:rsidRPr="00180B8D">
        <w:rPr>
          <w:b/>
          <w:lang w:val="en-GB"/>
        </w:rPr>
        <w:t>121.</w:t>
      </w:r>
      <w:r w:rsidRPr="00180B8D">
        <w:rPr>
          <w:lang w:val="en-GB"/>
        </w:rPr>
        <w:t xml:space="preserve"> For the calculation of own funds requirements for CVA risk in accordance with paragraphs 17–20, only positions in the following hedging instruments shall be recognised as eligible hedges:</w:t>
      </w:r>
    </w:p>
    <w:p w14:paraId="7347A668" w14:textId="6B5D039B" w:rsidR="00657236" w:rsidRPr="00180B8D" w:rsidRDefault="00D655E7">
      <w:pPr>
        <w:pStyle w:val="P68B1DB1-Normal2"/>
        <w:spacing w:after="0" w:line="240" w:lineRule="auto"/>
        <w:ind w:firstLine="567"/>
        <w:jc w:val="both"/>
        <w:rPr>
          <w:lang w:val="en-GB"/>
        </w:rPr>
      </w:pPr>
      <w:r w:rsidRPr="00180B8D">
        <w:rPr>
          <w:lang w:val="en-GB"/>
        </w:rPr>
        <w:t xml:space="preserve">121.1. instruments </w:t>
      </w:r>
      <w:r w:rsidR="005F0F0B">
        <w:rPr>
          <w:lang w:val="en-GB"/>
        </w:rPr>
        <w:t>that hedge</w:t>
      </w:r>
      <w:r w:rsidRPr="00180B8D">
        <w:rPr>
          <w:lang w:val="en-GB"/>
        </w:rPr>
        <w:t xml:space="preserve"> variability of the </w:t>
      </w:r>
      <w:r w:rsidR="005F0F0B" w:rsidRPr="00180B8D">
        <w:rPr>
          <w:lang w:val="en-GB"/>
        </w:rPr>
        <w:t xml:space="preserve">counterparty </w:t>
      </w:r>
      <w:r w:rsidRPr="00180B8D">
        <w:rPr>
          <w:lang w:val="en-GB"/>
        </w:rPr>
        <w:t xml:space="preserve">credit </w:t>
      </w:r>
      <w:proofErr w:type="spellStart"/>
      <w:r w:rsidRPr="00180B8D">
        <w:rPr>
          <w:lang w:val="en-GB"/>
        </w:rPr>
        <w:t>sprea</w:t>
      </w:r>
      <w:proofErr w:type="spellEnd"/>
      <w:r w:rsidRPr="00180B8D">
        <w:rPr>
          <w:lang w:val="en-GB"/>
        </w:rPr>
        <w:t xml:space="preserve">, with the exception of instruments referred to in the </w:t>
      </w:r>
      <w:r w:rsidR="005F0F0B" w:rsidRPr="00180B8D">
        <w:rPr>
          <w:lang w:val="en-GB"/>
        </w:rPr>
        <w:t>regulation</w:t>
      </w:r>
      <w:r w:rsidR="005F0F0B">
        <w:rPr>
          <w:lang w:val="en-GB"/>
        </w:rPr>
        <w:t xml:space="preserve"> on the </w:t>
      </w:r>
      <w:r w:rsidR="005F0F0B" w:rsidRPr="00180B8D">
        <w:rPr>
          <w:lang w:val="en-GB"/>
        </w:rPr>
        <w:t>treatment</w:t>
      </w:r>
      <w:r w:rsidR="005F0F0B">
        <w:rPr>
          <w:lang w:val="en-GB"/>
        </w:rPr>
        <w:t xml:space="preserve"> of the</w:t>
      </w:r>
      <w:r w:rsidR="005F0F0B" w:rsidRPr="00180B8D">
        <w:rPr>
          <w:lang w:val="en-GB"/>
        </w:rPr>
        <w:t xml:space="preserve"> </w:t>
      </w:r>
      <w:r w:rsidRPr="00180B8D">
        <w:rPr>
          <w:lang w:val="en-GB"/>
        </w:rPr>
        <w:t xml:space="preserve">market risk </w:t>
      </w:r>
      <w:r w:rsidR="005F0F0B">
        <w:rPr>
          <w:lang w:val="en-GB"/>
        </w:rPr>
        <w:t>according to</w:t>
      </w:r>
      <w:r w:rsidRPr="00180B8D">
        <w:rPr>
          <w:lang w:val="en-GB"/>
        </w:rPr>
        <w:t xml:space="preserve"> the </w:t>
      </w:r>
      <w:r w:rsidR="005F0F0B">
        <w:rPr>
          <w:lang w:val="en-GB"/>
        </w:rPr>
        <w:t>s</w:t>
      </w:r>
      <w:r w:rsidRPr="00180B8D">
        <w:rPr>
          <w:lang w:val="en-GB"/>
        </w:rPr>
        <w:t xml:space="preserve">tandardised </w:t>
      </w:r>
      <w:proofErr w:type="gramStart"/>
      <w:r w:rsidR="005F0F0B">
        <w:rPr>
          <w:lang w:val="en-GB"/>
        </w:rPr>
        <w:t>a</w:t>
      </w:r>
      <w:r w:rsidRPr="00180B8D">
        <w:rPr>
          <w:lang w:val="en-GB"/>
        </w:rPr>
        <w:t>pproach;</w:t>
      </w:r>
      <w:proofErr w:type="gramEnd"/>
    </w:p>
    <w:p w14:paraId="1EC7D3CD" w14:textId="330629AF" w:rsidR="00657236" w:rsidRPr="00180B8D" w:rsidRDefault="00D655E7">
      <w:pPr>
        <w:pStyle w:val="P68B1DB1-Normal2"/>
        <w:spacing w:after="0" w:line="240" w:lineRule="auto"/>
        <w:ind w:firstLine="567"/>
        <w:jc w:val="both"/>
        <w:rPr>
          <w:lang w:val="en-GB"/>
        </w:rPr>
      </w:pPr>
      <w:r w:rsidRPr="00180B8D">
        <w:rPr>
          <w:lang w:val="en-GB"/>
        </w:rPr>
        <w:t xml:space="preserve">121.2. instruments </w:t>
      </w:r>
      <w:r w:rsidR="005F0F0B">
        <w:rPr>
          <w:lang w:val="en-GB"/>
        </w:rPr>
        <w:t>that hedge</w:t>
      </w:r>
      <w:r w:rsidRPr="00180B8D">
        <w:rPr>
          <w:lang w:val="en-GB"/>
        </w:rPr>
        <w:t xml:space="preserve"> variability of the exposure component</w:t>
      </w:r>
      <w:r w:rsidR="005F0F0B" w:rsidRPr="005F0F0B">
        <w:rPr>
          <w:lang w:val="en-GB"/>
        </w:rPr>
        <w:t xml:space="preserve"> </w:t>
      </w:r>
      <w:r w:rsidR="005F0F0B">
        <w:rPr>
          <w:lang w:val="en-GB"/>
        </w:rPr>
        <w:t xml:space="preserve">of </w:t>
      </w:r>
      <w:r w:rsidR="005F0F0B" w:rsidRPr="00180B8D">
        <w:rPr>
          <w:lang w:val="en-GB"/>
        </w:rPr>
        <w:t>CVA</w:t>
      </w:r>
      <w:r w:rsidR="005F0F0B">
        <w:rPr>
          <w:lang w:val="en-GB"/>
        </w:rPr>
        <w:t xml:space="preserve"> risk</w:t>
      </w:r>
      <w:r w:rsidRPr="00180B8D">
        <w:rPr>
          <w:lang w:val="en-GB"/>
        </w:rPr>
        <w:t xml:space="preserve">, </w:t>
      </w:r>
      <w:proofErr w:type="gramStart"/>
      <w:r w:rsidRPr="00180B8D">
        <w:rPr>
          <w:lang w:val="en-GB"/>
        </w:rPr>
        <w:t>with the exception of</w:t>
      </w:r>
      <w:proofErr w:type="gramEnd"/>
      <w:r w:rsidRPr="00180B8D">
        <w:rPr>
          <w:lang w:val="en-GB"/>
        </w:rPr>
        <w:t xml:space="preserve"> </w:t>
      </w:r>
      <w:r w:rsidR="005F0F0B">
        <w:rPr>
          <w:lang w:val="en-GB"/>
        </w:rPr>
        <w:t xml:space="preserve">the </w:t>
      </w:r>
      <w:r w:rsidRPr="00180B8D">
        <w:rPr>
          <w:lang w:val="en-GB"/>
        </w:rPr>
        <w:t xml:space="preserve">instruments referred to in the </w:t>
      </w:r>
      <w:r w:rsidR="005F0F0B" w:rsidRPr="00180B8D">
        <w:rPr>
          <w:lang w:val="en-GB"/>
        </w:rPr>
        <w:t>regulation</w:t>
      </w:r>
      <w:r w:rsidR="005F0F0B">
        <w:rPr>
          <w:lang w:val="en-GB"/>
        </w:rPr>
        <w:t xml:space="preserve"> on the</w:t>
      </w:r>
      <w:r w:rsidR="005F0F0B" w:rsidRPr="00180B8D">
        <w:rPr>
          <w:lang w:val="en-GB"/>
        </w:rPr>
        <w:t xml:space="preserve"> treatment </w:t>
      </w:r>
      <w:r w:rsidR="005F0F0B">
        <w:rPr>
          <w:lang w:val="en-GB"/>
        </w:rPr>
        <w:t xml:space="preserve">of the </w:t>
      </w:r>
      <w:r w:rsidRPr="00180B8D">
        <w:rPr>
          <w:lang w:val="en-GB"/>
        </w:rPr>
        <w:t xml:space="preserve">market risk </w:t>
      </w:r>
      <w:r w:rsidR="005F0F0B">
        <w:rPr>
          <w:lang w:val="en-GB"/>
        </w:rPr>
        <w:t>according to</w:t>
      </w:r>
      <w:r w:rsidR="005F0F0B" w:rsidRPr="00180B8D">
        <w:rPr>
          <w:lang w:val="en-GB"/>
        </w:rPr>
        <w:t xml:space="preserve"> </w:t>
      </w:r>
      <w:r w:rsidRPr="00180B8D">
        <w:rPr>
          <w:lang w:val="en-GB"/>
        </w:rPr>
        <w:t xml:space="preserve">the </w:t>
      </w:r>
      <w:r w:rsidR="005F0F0B">
        <w:rPr>
          <w:lang w:val="en-GB"/>
        </w:rPr>
        <w:t>s</w:t>
      </w:r>
      <w:r w:rsidRPr="00180B8D">
        <w:rPr>
          <w:lang w:val="en-GB"/>
        </w:rPr>
        <w:t xml:space="preserve">tandardised </w:t>
      </w:r>
      <w:r w:rsidR="005F0F0B">
        <w:rPr>
          <w:lang w:val="en-GB"/>
        </w:rPr>
        <w:t>a</w:t>
      </w:r>
      <w:r w:rsidRPr="00180B8D">
        <w:rPr>
          <w:lang w:val="en-GB"/>
        </w:rPr>
        <w:t>pproach.</w:t>
      </w:r>
    </w:p>
    <w:p w14:paraId="7315283A" w14:textId="76532A2F" w:rsidR="00657236" w:rsidRPr="00180B8D" w:rsidRDefault="00D655E7">
      <w:pPr>
        <w:pStyle w:val="P68B1DB1-Normal2"/>
        <w:spacing w:after="0" w:line="240" w:lineRule="auto"/>
        <w:ind w:firstLine="567"/>
        <w:jc w:val="both"/>
        <w:rPr>
          <w:lang w:val="en-GB"/>
        </w:rPr>
      </w:pPr>
      <w:r w:rsidRPr="00180B8D">
        <w:rPr>
          <w:b/>
          <w:lang w:val="en-GB"/>
        </w:rPr>
        <w:t>122.</w:t>
      </w:r>
      <w:r w:rsidRPr="00180B8D">
        <w:rPr>
          <w:lang w:val="en-GB"/>
        </w:rPr>
        <w:t xml:space="preserve"> For the calculati</w:t>
      </w:r>
      <w:r w:rsidR="005F0F0B">
        <w:rPr>
          <w:lang w:val="en-GB"/>
        </w:rPr>
        <w:t>on of</w:t>
      </w:r>
      <w:r w:rsidRPr="00180B8D">
        <w:rPr>
          <w:lang w:val="en-GB"/>
        </w:rPr>
        <w:t xml:space="preserve"> the own </w:t>
      </w:r>
      <w:proofErr w:type="gramStart"/>
      <w:r w:rsidRPr="00180B8D">
        <w:rPr>
          <w:lang w:val="en-GB"/>
        </w:rPr>
        <w:t>funds</w:t>
      </w:r>
      <w:proofErr w:type="gramEnd"/>
      <w:r w:rsidRPr="00180B8D">
        <w:rPr>
          <w:lang w:val="en-GB"/>
        </w:rPr>
        <w:t xml:space="preserve"> requirements for CVA risk in accordance with paragraphs 113–115 only positions in the following hedging instruments shall be recognised as eligible hedges:</w:t>
      </w:r>
    </w:p>
    <w:p w14:paraId="0DB52139" w14:textId="48F976DC" w:rsidR="00657236" w:rsidRPr="00180B8D" w:rsidRDefault="00D655E7">
      <w:pPr>
        <w:pStyle w:val="P68B1DB1-Normal2"/>
        <w:spacing w:after="0" w:line="240" w:lineRule="auto"/>
        <w:ind w:firstLine="567"/>
        <w:jc w:val="both"/>
        <w:rPr>
          <w:lang w:val="en-GB"/>
        </w:rPr>
      </w:pPr>
      <w:r w:rsidRPr="00180B8D">
        <w:rPr>
          <w:lang w:val="en-GB"/>
        </w:rPr>
        <w:t>122.1. single-name credit default swaps and single-name contingent</w:t>
      </w:r>
      <w:r w:rsidR="005F0F0B">
        <w:rPr>
          <w:lang w:val="en-GB"/>
        </w:rPr>
        <w:t>-</w:t>
      </w:r>
      <w:r w:rsidRPr="00180B8D">
        <w:rPr>
          <w:lang w:val="en-GB"/>
        </w:rPr>
        <w:t xml:space="preserve">credit default swaps </w:t>
      </w:r>
      <w:r w:rsidR="005F0F0B" w:rsidRPr="005F0F0B">
        <w:t>referencing</w:t>
      </w:r>
      <w:r w:rsidRPr="00180B8D">
        <w:rPr>
          <w:lang w:val="en-GB"/>
        </w:rPr>
        <w:t>:</w:t>
      </w:r>
      <w:r w:rsidR="00213833">
        <w:rPr>
          <w:lang w:val="en-GB"/>
        </w:rPr>
        <w:t xml:space="preserve"> </w:t>
      </w:r>
    </w:p>
    <w:p w14:paraId="78C84DC3" w14:textId="32A7E648" w:rsidR="00657236" w:rsidRPr="00180B8D" w:rsidRDefault="00D655E7">
      <w:pPr>
        <w:pStyle w:val="P68B1DB1-Normal2"/>
        <w:spacing w:after="0" w:line="240" w:lineRule="auto"/>
        <w:ind w:firstLine="567"/>
        <w:jc w:val="both"/>
        <w:rPr>
          <w:lang w:val="en-GB"/>
        </w:rPr>
      </w:pPr>
      <w:r w:rsidRPr="00180B8D">
        <w:rPr>
          <w:lang w:val="en-GB"/>
        </w:rPr>
        <w:t xml:space="preserve">122.1.1. </w:t>
      </w:r>
      <w:r w:rsidR="00213833" w:rsidRPr="00213833">
        <w:t xml:space="preserve">the counterparty </w:t>
      </w:r>
      <w:proofErr w:type="gramStart"/>
      <w:r w:rsidR="00213833" w:rsidRPr="00213833">
        <w:t>directly</w:t>
      </w:r>
      <w:r w:rsidRPr="00180B8D">
        <w:rPr>
          <w:lang w:val="en-GB"/>
        </w:rPr>
        <w:t>;</w:t>
      </w:r>
      <w:proofErr w:type="gramEnd"/>
      <w:r w:rsidR="00213833">
        <w:rPr>
          <w:lang w:val="en-GB"/>
        </w:rPr>
        <w:t xml:space="preserve"> </w:t>
      </w:r>
    </w:p>
    <w:p w14:paraId="375C2BAD" w14:textId="2430EC5C" w:rsidR="00657236" w:rsidRPr="00180B8D" w:rsidRDefault="00D655E7">
      <w:pPr>
        <w:pStyle w:val="P68B1DB1-Normal2"/>
        <w:spacing w:after="0" w:line="240" w:lineRule="auto"/>
        <w:ind w:firstLine="567"/>
        <w:jc w:val="both"/>
        <w:rPr>
          <w:lang w:val="en-GB"/>
        </w:rPr>
      </w:pPr>
      <w:r w:rsidRPr="00180B8D">
        <w:rPr>
          <w:lang w:val="en-GB"/>
        </w:rPr>
        <w:t xml:space="preserve">122.1.2. an entity legally </w:t>
      </w:r>
      <w:r w:rsidR="00213833">
        <w:rPr>
          <w:lang w:val="en-GB"/>
        </w:rPr>
        <w:t>related</w:t>
      </w:r>
      <w:r w:rsidRPr="00180B8D">
        <w:rPr>
          <w:lang w:val="en-GB"/>
        </w:rPr>
        <w:t xml:space="preserve"> to the counterparty, where </w:t>
      </w:r>
      <w:r w:rsidR="00213833">
        <w:rPr>
          <w:lang w:val="en-GB"/>
        </w:rPr>
        <w:t>“</w:t>
      </w:r>
      <w:r w:rsidRPr="00180B8D">
        <w:rPr>
          <w:lang w:val="en-GB"/>
        </w:rPr>
        <w:t xml:space="preserve">legally </w:t>
      </w:r>
      <w:r w:rsidR="00213833">
        <w:rPr>
          <w:lang w:val="en-GB"/>
        </w:rPr>
        <w:t>related”</w:t>
      </w:r>
      <w:r w:rsidRPr="00180B8D">
        <w:rPr>
          <w:lang w:val="en-GB"/>
        </w:rPr>
        <w:t xml:space="preserve"> refers to cases where the reference name and the counterparty are either a parent undertaking and its subsidiary or two subsidiaries of a </w:t>
      </w:r>
      <w:r w:rsidR="00213833">
        <w:rPr>
          <w:lang w:val="en-GB"/>
        </w:rPr>
        <w:t>common</w:t>
      </w:r>
      <w:r w:rsidRPr="00180B8D">
        <w:rPr>
          <w:lang w:val="en-GB"/>
        </w:rPr>
        <w:t xml:space="preserve"> </w:t>
      </w:r>
      <w:proofErr w:type="gramStart"/>
      <w:r w:rsidRPr="00180B8D">
        <w:rPr>
          <w:lang w:val="en-GB"/>
        </w:rPr>
        <w:t>parent;</w:t>
      </w:r>
      <w:proofErr w:type="gramEnd"/>
      <w:r w:rsidR="00213833">
        <w:rPr>
          <w:lang w:val="en-GB"/>
        </w:rPr>
        <w:t xml:space="preserve"> </w:t>
      </w:r>
    </w:p>
    <w:p w14:paraId="66044CCF" w14:textId="77777777" w:rsidR="00657236" w:rsidRPr="00180B8D" w:rsidRDefault="00D655E7">
      <w:pPr>
        <w:pStyle w:val="P68B1DB1-Normal2"/>
        <w:spacing w:after="0" w:line="240" w:lineRule="auto"/>
        <w:ind w:firstLine="567"/>
        <w:jc w:val="both"/>
        <w:rPr>
          <w:lang w:val="en-GB"/>
        </w:rPr>
      </w:pPr>
      <w:r w:rsidRPr="00180B8D">
        <w:rPr>
          <w:lang w:val="en-GB"/>
        </w:rPr>
        <w:t xml:space="preserve">122.1.3. an entity belonging to the same sector and region as the </w:t>
      </w:r>
      <w:proofErr w:type="gramStart"/>
      <w:r w:rsidRPr="00180B8D">
        <w:rPr>
          <w:lang w:val="en-GB"/>
        </w:rPr>
        <w:t>counterparty;</w:t>
      </w:r>
      <w:proofErr w:type="gramEnd"/>
    </w:p>
    <w:p w14:paraId="4E038D8C" w14:textId="77777777" w:rsidR="00657236" w:rsidRPr="00180B8D" w:rsidRDefault="00D655E7">
      <w:pPr>
        <w:pStyle w:val="P68B1DB1-Normal2"/>
        <w:spacing w:after="0" w:line="240" w:lineRule="auto"/>
        <w:ind w:firstLine="567"/>
        <w:jc w:val="both"/>
        <w:rPr>
          <w:lang w:val="en-GB"/>
        </w:rPr>
      </w:pPr>
      <w:r w:rsidRPr="00180B8D">
        <w:rPr>
          <w:lang w:val="en-GB"/>
        </w:rPr>
        <w:t>122.2. index credit default swaps.</w:t>
      </w:r>
    </w:p>
    <w:p w14:paraId="795A005C" w14:textId="73EBF7BE" w:rsidR="00657236" w:rsidRPr="00180B8D" w:rsidRDefault="00D655E7">
      <w:pPr>
        <w:pStyle w:val="P68B1DB1-Normal2"/>
        <w:spacing w:after="0" w:line="240" w:lineRule="auto"/>
        <w:ind w:firstLine="567"/>
        <w:jc w:val="both"/>
        <w:rPr>
          <w:lang w:val="en-GB"/>
        </w:rPr>
      </w:pPr>
      <w:r w:rsidRPr="00180B8D">
        <w:rPr>
          <w:b/>
          <w:lang w:val="en-GB"/>
        </w:rPr>
        <w:lastRenderedPageBreak/>
        <w:t>123.</w:t>
      </w:r>
      <w:r w:rsidRPr="00180B8D">
        <w:rPr>
          <w:lang w:val="en-GB"/>
        </w:rPr>
        <w:t xml:space="preserve"> Positions in hedging instruments </w:t>
      </w:r>
      <w:r w:rsidR="00A22335">
        <w:rPr>
          <w:lang w:val="en-GB"/>
        </w:rPr>
        <w:t xml:space="preserve">entered into </w:t>
      </w:r>
      <w:r w:rsidRPr="00180B8D">
        <w:rPr>
          <w:lang w:val="en-GB"/>
        </w:rPr>
        <w:t xml:space="preserve">with third parties that are recognised as eligible hedges in accordance with paragraphs 119-122 and included in the calculation of </w:t>
      </w:r>
      <w:r w:rsidR="00A22335">
        <w:rPr>
          <w:lang w:val="en-GB"/>
        </w:rPr>
        <w:t xml:space="preserve">the </w:t>
      </w:r>
      <w:r w:rsidRPr="00180B8D">
        <w:rPr>
          <w:lang w:val="en-GB"/>
        </w:rPr>
        <w:t xml:space="preserve">own </w:t>
      </w:r>
      <w:proofErr w:type="gramStart"/>
      <w:r w:rsidRPr="00180B8D">
        <w:rPr>
          <w:lang w:val="en-GB"/>
        </w:rPr>
        <w:t>funds</w:t>
      </w:r>
      <w:proofErr w:type="gramEnd"/>
      <w:r w:rsidRPr="00180B8D">
        <w:rPr>
          <w:lang w:val="en-GB"/>
        </w:rPr>
        <w:t xml:space="preserve"> requirements for CVA risk shall not be subject to the own funds requirements for market risk set out in the </w:t>
      </w:r>
      <w:r w:rsidR="00A22335" w:rsidRPr="00180B8D">
        <w:rPr>
          <w:lang w:val="en-GB"/>
        </w:rPr>
        <w:t>regulation</w:t>
      </w:r>
      <w:r w:rsidR="00A22335">
        <w:rPr>
          <w:lang w:val="en-GB"/>
        </w:rPr>
        <w:t xml:space="preserve"> on the</w:t>
      </w:r>
      <w:r w:rsidR="00A22335" w:rsidRPr="00180B8D">
        <w:rPr>
          <w:lang w:val="en-GB"/>
        </w:rPr>
        <w:t xml:space="preserve"> treatment </w:t>
      </w:r>
      <w:r w:rsidR="00A22335">
        <w:rPr>
          <w:lang w:val="en-GB"/>
        </w:rPr>
        <w:t xml:space="preserve">of the </w:t>
      </w:r>
      <w:r w:rsidR="00A22335" w:rsidRPr="00180B8D">
        <w:rPr>
          <w:lang w:val="en-GB"/>
        </w:rPr>
        <w:t xml:space="preserve">market risk </w:t>
      </w:r>
      <w:r w:rsidR="00A22335">
        <w:rPr>
          <w:lang w:val="en-GB"/>
        </w:rPr>
        <w:t>according to</w:t>
      </w:r>
      <w:r w:rsidR="00A22335" w:rsidRPr="00180B8D">
        <w:rPr>
          <w:lang w:val="en-GB"/>
        </w:rPr>
        <w:t xml:space="preserve"> the </w:t>
      </w:r>
      <w:r w:rsidR="00A22335">
        <w:rPr>
          <w:lang w:val="en-GB"/>
        </w:rPr>
        <w:t>s</w:t>
      </w:r>
      <w:r w:rsidR="00A22335" w:rsidRPr="00180B8D">
        <w:rPr>
          <w:lang w:val="en-GB"/>
        </w:rPr>
        <w:t xml:space="preserve">tandardised </w:t>
      </w:r>
      <w:r w:rsidR="00A22335">
        <w:rPr>
          <w:lang w:val="en-GB"/>
        </w:rPr>
        <w:t>a</w:t>
      </w:r>
      <w:r w:rsidR="00A22335" w:rsidRPr="00180B8D">
        <w:rPr>
          <w:lang w:val="en-GB"/>
        </w:rPr>
        <w:t>pproach</w:t>
      </w:r>
      <w:r w:rsidRPr="00180B8D">
        <w:rPr>
          <w:lang w:val="en-GB"/>
        </w:rPr>
        <w:t>.</w:t>
      </w:r>
    </w:p>
    <w:p w14:paraId="0CCCB4B9" w14:textId="29A36590" w:rsidR="00657236" w:rsidRPr="00180B8D" w:rsidRDefault="00D655E7">
      <w:pPr>
        <w:pStyle w:val="P68B1DB1-Normal2"/>
        <w:spacing w:after="0" w:line="240" w:lineRule="auto"/>
        <w:ind w:firstLine="567"/>
        <w:jc w:val="both"/>
        <w:rPr>
          <w:lang w:val="en-GB"/>
        </w:rPr>
      </w:pPr>
      <w:r w:rsidRPr="00180B8D">
        <w:rPr>
          <w:b/>
          <w:lang w:val="en-GB"/>
        </w:rPr>
        <w:t>124.</w:t>
      </w:r>
      <w:r w:rsidRPr="00180B8D">
        <w:rPr>
          <w:lang w:val="en-GB"/>
        </w:rPr>
        <w:t xml:space="preserve"> Positions in hedging instruments that are not recognised as eligible hedges in accordance with paragraphs 119-123 shall be subject to the own funds requirements for market risk set out in the </w:t>
      </w:r>
      <w:r w:rsidR="00A22335">
        <w:rPr>
          <w:lang w:val="en-GB"/>
        </w:rPr>
        <w:t>normative acts on the</w:t>
      </w:r>
      <w:r w:rsidR="00A22335" w:rsidRPr="00180B8D">
        <w:rPr>
          <w:lang w:val="en-GB"/>
        </w:rPr>
        <w:t xml:space="preserve"> treatment </w:t>
      </w:r>
      <w:r w:rsidR="00A22335">
        <w:rPr>
          <w:lang w:val="en-GB"/>
        </w:rPr>
        <w:t xml:space="preserve">of the </w:t>
      </w:r>
      <w:r w:rsidR="00A22335" w:rsidRPr="00180B8D">
        <w:rPr>
          <w:lang w:val="en-GB"/>
        </w:rPr>
        <w:t xml:space="preserve">market risk </w:t>
      </w:r>
      <w:r w:rsidR="00A22335">
        <w:rPr>
          <w:lang w:val="en-GB"/>
        </w:rPr>
        <w:t>according to</w:t>
      </w:r>
      <w:r w:rsidR="00A22335" w:rsidRPr="00180B8D">
        <w:rPr>
          <w:lang w:val="en-GB"/>
        </w:rPr>
        <w:t xml:space="preserve"> the </w:t>
      </w:r>
      <w:r w:rsidR="00A22335">
        <w:rPr>
          <w:lang w:val="en-GB"/>
        </w:rPr>
        <w:t>s</w:t>
      </w:r>
      <w:r w:rsidR="00A22335" w:rsidRPr="00180B8D">
        <w:rPr>
          <w:lang w:val="en-GB"/>
        </w:rPr>
        <w:t xml:space="preserve">tandardised </w:t>
      </w:r>
      <w:r w:rsidR="00A22335">
        <w:rPr>
          <w:lang w:val="en-GB"/>
        </w:rPr>
        <w:t>a</w:t>
      </w:r>
      <w:r w:rsidR="00A22335" w:rsidRPr="00180B8D">
        <w:rPr>
          <w:lang w:val="en-GB"/>
        </w:rPr>
        <w:t>pproach</w:t>
      </w:r>
      <w:r w:rsidRPr="00180B8D">
        <w:rPr>
          <w:lang w:val="en-GB"/>
        </w:rPr>
        <w:t>.</w:t>
      </w:r>
    </w:p>
    <w:p w14:paraId="243DD4E1" w14:textId="77777777" w:rsidR="00657236" w:rsidRPr="00180B8D" w:rsidRDefault="00D655E7">
      <w:pPr>
        <w:pStyle w:val="P68B1DB1-Normal2"/>
        <w:spacing w:after="0" w:line="240" w:lineRule="auto"/>
        <w:jc w:val="center"/>
        <w:rPr>
          <w:lang w:val="en-GB"/>
        </w:rPr>
      </w:pPr>
      <w:r w:rsidRPr="00180B8D">
        <w:rPr>
          <w:lang w:val="en-GB"/>
        </w:rPr>
        <w:t> </w:t>
      </w:r>
    </w:p>
    <w:p w14:paraId="731C9400" w14:textId="77777777" w:rsidR="00657236" w:rsidRPr="00180B8D" w:rsidRDefault="00D655E7">
      <w:pPr>
        <w:pStyle w:val="P68B1DB1-Normal1"/>
        <w:spacing w:after="0" w:line="240" w:lineRule="auto"/>
        <w:jc w:val="center"/>
        <w:rPr>
          <w:lang w:val="en-GB"/>
        </w:rPr>
      </w:pPr>
      <w:r w:rsidRPr="00180B8D">
        <w:rPr>
          <w:lang w:val="en-GB"/>
        </w:rPr>
        <w:t>CHAPTER VIII</w:t>
      </w:r>
    </w:p>
    <w:p w14:paraId="2A66C328" w14:textId="77631E75" w:rsidR="00657236" w:rsidRPr="00180B8D" w:rsidRDefault="00A22335">
      <w:pPr>
        <w:pStyle w:val="P68B1DB1-Normal1"/>
        <w:spacing w:after="0" w:line="240" w:lineRule="auto"/>
        <w:jc w:val="center"/>
        <w:rPr>
          <w:lang w:val="en-GB"/>
        </w:rPr>
      </w:pPr>
      <w:r>
        <w:rPr>
          <w:lang w:val="en-GB"/>
        </w:rPr>
        <w:t xml:space="preserve">GRANTING </w:t>
      </w:r>
      <w:r w:rsidRPr="00180B8D">
        <w:rPr>
          <w:lang w:val="en-GB"/>
        </w:rPr>
        <w:t xml:space="preserve">OF </w:t>
      </w:r>
      <w:r>
        <w:rPr>
          <w:lang w:val="en-GB"/>
        </w:rPr>
        <w:t>PRIOR</w:t>
      </w:r>
      <w:r w:rsidRPr="00180B8D">
        <w:rPr>
          <w:lang w:val="en-GB"/>
        </w:rPr>
        <w:t xml:space="preserve"> </w:t>
      </w:r>
      <w:r w:rsidR="00637B03">
        <w:rPr>
          <w:lang w:val="en-GB"/>
        </w:rPr>
        <w:t>APPROVAL</w:t>
      </w:r>
    </w:p>
    <w:p w14:paraId="43599273" w14:textId="475CBF0A" w:rsidR="00657236" w:rsidRPr="00180B8D" w:rsidRDefault="00D655E7">
      <w:pPr>
        <w:pStyle w:val="P68B1DB1-Normal2"/>
        <w:spacing w:after="0" w:line="240" w:lineRule="auto"/>
        <w:ind w:firstLine="567"/>
        <w:jc w:val="both"/>
        <w:rPr>
          <w:lang w:val="en-GB"/>
        </w:rPr>
      </w:pPr>
      <w:r w:rsidRPr="00180B8D">
        <w:rPr>
          <w:b/>
          <w:lang w:val="en-GB"/>
        </w:rPr>
        <w:t>125.</w:t>
      </w:r>
      <w:r w:rsidRPr="00180B8D">
        <w:rPr>
          <w:lang w:val="en-GB"/>
        </w:rPr>
        <w:t xml:space="preserve"> This Chapter shall apply to prior </w:t>
      </w:r>
      <w:r w:rsidR="00637B03">
        <w:rPr>
          <w:lang w:val="en-GB"/>
        </w:rPr>
        <w:t>approval</w:t>
      </w:r>
      <w:r w:rsidR="00A22335">
        <w:rPr>
          <w:lang w:val="en-GB"/>
        </w:rPr>
        <w:t>s</w:t>
      </w:r>
      <w:r w:rsidRPr="00180B8D">
        <w:rPr>
          <w:lang w:val="en-GB"/>
        </w:rPr>
        <w:t xml:space="preserve"> issued by the National Bank of Moldova in accordance with paragraphs 11, 15, 17 and 26. In order to issue prior </w:t>
      </w:r>
      <w:r w:rsidR="00637B03">
        <w:rPr>
          <w:lang w:val="en-GB"/>
        </w:rPr>
        <w:t>approval</w:t>
      </w:r>
      <w:r w:rsidRPr="00180B8D">
        <w:rPr>
          <w:lang w:val="en-GB"/>
        </w:rPr>
        <w:t xml:space="preserve">, the bank shall submit to the National Bank of Moldova an application accompanied by the documents and information set out in the Annex to this Regulation, which shall substantiate the request/confirm whether the requirements set out in those </w:t>
      </w:r>
      <w:r w:rsidR="00A22335">
        <w:rPr>
          <w:lang w:val="en-GB"/>
        </w:rPr>
        <w:t>paragraphs</w:t>
      </w:r>
      <w:r w:rsidRPr="00180B8D">
        <w:rPr>
          <w:lang w:val="en-GB"/>
        </w:rPr>
        <w:t xml:space="preserve"> are met.</w:t>
      </w:r>
    </w:p>
    <w:p w14:paraId="5E54131A" w14:textId="4EA14883" w:rsidR="00657236" w:rsidRPr="00180B8D" w:rsidRDefault="00D655E7">
      <w:pPr>
        <w:pStyle w:val="P68B1DB1-Normal2"/>
        <w:spacing w:after="0" w:line="240" w:lineRule="auto"/>
        <w:ind w:firstLine="567"/>
        <w:jc w:val="both"/>
        <w:rPr>
          <w:lang w:val="en-GB"/>
        </w:rPr>
      </w:pPr>
      <w:r w:rsidRPr="00180B8D">
        <w:rPr>
          <w:b/>
          <w:lang w:val="en-GB"/>
        </w:rPr>
        <w:t>126.</w:t>
      </w:r>
      <w:r w:rsidRPr="00180B8D">
        <w:rPr>
          <w:lang w:val="en-GB"/>
        </w:rPr>
        <w:t xml:space="preserve"> The application, as well as the documents and information referred to in paragraph 125, shall be submitted to the National Bank of Moldova in</w:t>
      </w:r>
      <w:r w:rsidR="00A22335">
        <w:rPr>
          <w:lang w:val="en-GB"/>
        </w:rPr>
        <w:t xml:space="preserve"> the</w:t>
      </w:r>
      <w:r w:rsidRPr="00180B8D">
        <w:rPr>
          <w:lang w:val="en-GB"/>
        </w:rPr>
        <w:t xml:space="preserve"> Romanian</w:t>
      </w:r>
      <w:r w:rsidR="00A22335">
        <w:rPr>
          <w:lang w:val="en-GB"/>
        </w:rPr>
        <w:t xml:space="preserve"> language</w:t>
      </w:r>
      <w:r w:rsidRPr="00180B8D">
        <w:rPr>
          <w:lang w:val="en-GB"/>
        </w:rPr>
        <w:t xml:space="preserve"> and shall be signed by the person authorised by the bank.</w:t>
      </w:r>
    </w:p>
    <w:p w14:paraId="5A6DB7AB" w14:textId="77777777" w:rsidR="00657236" w:rsidRPr="00180B8D" w:rsidRDefault="00D655E7">
      <w:pPr>
        <w:pStyle w:val="P68B1DB1-Normal2"/>
        <w:spacing w:after="0" w:line="240" w:lineRule="auto"/>
        <w:ind w:firstLine="567"/>
        <w:jc w:val="both"/>
        <w:rPr>
          <w:lang w:val="en-GB"/>
        </w:rPr>
      </w:pPr>
      <w:r w:rsidRPr="00180B8D">
        <w:rPr>
          <w:b/>
          <w:lang w:val="en-GB"/>
        </w:rPr>
        <w:t>127.</w:t>
      </w:r>
      <w:r w:rsidRPr="00180B8D">
        <w:rPr>
          <w:lang w:val="en-GB"/>
        </w:rPr>
        <w:t xml:space="preserve"> If the documents and/or information specified in paragraph 125 do not correspond to paragraphs 125 and 126, the National Bank of Moldova shall notify the bank in writing within 5 working days of the date of submission of the application. The bank shall, within 10 working days from the date of receipt of the letter of the National Bank of Moldova, complete and submit to the National Bank of Moldova the missing documents and/or information.</w:t>
      </w:r>
    </w:p>
    <w:p w14:paraId="3E2BF230" w14:textId="77777777" w:rsidR="00657236" w:rsidRPr="00180B8D" w:rsidRDefault="00D655E7">
      <w:pPr>
        <w:pStyle w:val="P68B1DB1-Normal2"/>
        <w:spacing w:after="0" w:line="240" w:lineRule="auto"/>
        <w:ind w:firstLine="567"/>
        <w:jc w:val="both"/>
        <w:rPr>
          <w:lang w:val="en-GB"/>
        </w:rPr>
      </w:pPr>
      <w:r w:rsidRPr="00180B8D">
        <w:rPr>
          <w:b/>
          <w:lang w:val="en-GB"/>
        </w:rPr>
        <w:t>128.</w:t>
      </w:r>
      <w:r w:rsidRPr="00180B8D">
        <w:rPr>
          <w:lang w:val="en-GB"/>
        </w:rPr>
        <w:t xml:space="preserve"> If the bank fails to complete the set of documents and information within the deadline specified in paragraph 127, the National Bank of Moldova shall notify the bank of the termination of the administrative procedure within 3 working days of the expiry of the deadline.</w:t>
      </w:r>
    </w:p>
    <w:p w14:paraId="36F6F7D3" w14:textId="6F26F653" w:rsidR="00657236" w:rsidRPr="00180B8D" w:rsidRDefault="00D655E7">
      <w:pPr>
        <w:pStyle w:val="P68B1DB1-Normal2"/>
        <w:spacing w:after="0" w:line="240" w:lineRule="auto"/>
        <w:ind w:firstLine="567"/>
        <w:jc w:val="both"/>
        <w:rPr>
          <w:lang w:val="en-GB"/>
        </w:rPr>
      </w:pPr>
      <w:r w:rsidRPr="00180B8D">
        <w:rPr>
          <w:b/>
          <w:lang w:val="en-GB"/>
        </w:rPr>
        <w:t>129.</w:t>
      </w:r>
      <w:r w:rsidRPr="00180B8D">
        <w:rPr>
          <w:lang w:val="en-GB"/>
        </w:rPr>
        <w:t xml:space="preserve"> Within 60 working days from the date of receipt of the complete set of documents and information in accordance with this Chapter, the National Bank of Moldova shall issue the appropriate prior </w:t>
      </w:r>
      <w:r w:rsidR="00637B03">
        <w:rPr>
          <w:lang w:val="en-GB"/>
        </w:rPr>
        <w:t>approval</w:t>
      </w:r>
      <w:r w:rsidRPr="00180B8D">
        <w:rPr>
          <w:lang w:val="en-GB"/>
        </w:rPr>
        <w:t xml:space="preserve"> or reject the application, notifying the bank of its decision. If further examination is required or more time is needed to process the information and documents, the deadline may be extended by a maximum of 30 working days, upon notification to the bank.</w:t>
      </w:r>
    </w:p>
    <w:p w14:paraId="3B8E3211" w14:textId="4D91E65A" w:rsidR="00657236" w:rsidRPr="00180B8D" w:rsidRDefault="00D655E7">
      <w:pPr>
        <w:pStyle w:val="P68B1DB1-Normal2"/>
        <w:spacing w:after="0" w:line="240" w:lineRule="auto"/>
        <w:ind w:firstLine="567"/>
        <w:jc w:val="both"/>
        <w:rPr>
          <w:lang w:val="en-GB"/>
        </w:rPr>
      </w:pPr>
      <w:r w:rsidRPr="00180B8D">
        <w:rPr>
          <w:b/>
          <w:lang w:val="en-GB"/>
        </w:rPr>
        <w:t>130.</w:t>
      </w:r>
      <w:r w:rsidRPr="00180B8D">
        <w:rPr>
          <w:lang w:val="en-GB"/>
        </w:rPr>
        <w:t xml:space="preserve"> If the documents and information submitted in accordance with this Chapter are insufficient to take a decision on the request for prior </w:t>
      </w:r>
      <w:r w:rsidR="00637B03">
        <w:rPr>
          <w:lang w:val="en-GB"/>
        </w:rPr>
        <w:t>approval</w:t>
      </w:r>
      <w:r w:rsidRPr="00180B8D">
        <w:rPr>
          <w:lang w:val="en-GB"/>
        </w:rPr>
        <w:t xml:space="preserve"> in the context of paragraph 125, the National Bank of Moldova shall have the right to require the submission of additional documents and information.</w:t>
      </w:r>
    </w:p>
    <w:p w14:paraId="59239CE7" w14:textId="77777777" w:rsidR="00657236" w:rsidRPr="00180B8D" w:rsidRDefault="00D655E7">
      <w:pPr>
        <w:pStyle w:val="P68B1DB1-Normal2"/>
        <w:spacing w:after="0" w:line="240" w:lineRule="auto"/>
        <w:ind w:firstLine="567"/>
        <w:jc w:val="both"/>
        <w:rPr>
          <w:lang w:val="en-GB"/>
        </w:rPr>
      </w:pPr>
      <w:r w:rsidRPr="00180B8D">
        <w:rPr>
          <w:b/>
          <w:lang w:val="en-GB"/>
        </w:rPr>
        <w:t>131.</w:t>
      </w:r>
      <w:r w:rsidRPr="00180B8D">
        <w:rPr>
          <w:lang w:val="en-GB"/>
        </w:rPr>
        <w:t xml:space="preserve"> The Bank shall be obliged to submit the additional information and documents within the period specified by the National Bank of Moldova, during which the period referred to in paragraph 129 shall be suspended.</w:t>
      </w:r>
    </w:p>
    <w:p w14:paraId="464724E1" w14:textId="5F338795" w:rsidR="00657236" w:rsidRPr="00180B8D" w:rsidRDefault="00D655E7">
      <w:pPr>
        <w:pStyle w:val="P68B1DB1-Normal2"/>
        <w:spacing w:after="0" w:line="240" w:lineRule="auto"/>
        <w:ind w:firstLine="567"/>
        <w:jc w:val="both"/>
        <w:rPr>
          <w:lang w:val="en-GB"/>
        </w:rPr>
      </w:pPr>
      <w:r w:rsidRPr="00180B8D">
        <w:rPr>
          <w:b/>
          <w:lang w:val="en-GB"/>
        </w:rPr>
        <w:t>132.</w:t>
      </w:r>
      <w:r w:rsidRPr="00180B8D">
        <w:rPr>
          <w:lang w:val="en-GB"/>
        </w:rPr>
        <w:t xml:space="preserve"> If the application for prior </w:t>
      </w:r>
      <w:r w:rsidR="00637B03">
        <w:rPr>
          <w:lang w:val="en-GB"/>
        </w:rPr>
        <w:t>approval</w:t>
      </w:r>
      <w:r w:rsidRPr="00180B8D">
        <w:rPr>
          <w:lang w:val="en-GB"/>
        </w:rPr>
        <w:t xml:space="preserve"> is rejected, the grounds on which the application is rejected shall be indicated. The grounds for rejecting the application for prior </w:t>
      </w:r>
      <w:r w:rsidR="00637B03">
        <w:rPr>
          <w:lang w:val="en-GB"/>
        </w:rPr>
        <w:t>approval</w:t>
      </w:r>
      <w:r w:rsidRPr="00180B8D">
        <w:rPr>
          <w:lang w:val="en-GB"/>
        </w:rPr>
        <w:t xml:space="preserve"> of the National Bank of Moldova shall be the following:</w:t>
      </w:r>
    </w:p>
    <w:p w14:paraId="325EB936" w14:textId="36DDA4B1" w:rsidR="00657236" w:rsidRPr="00180B8D" w:rsidRDefault="00D655E7">
      <w:pPr>
        <w:pStyle w:val="P68B1DB1-Normal2"/>
        <w:spacing w:after="0" w:line="240" w:lineRule="auto"/>
        <w:ind w:firstLine="567"/>
        <w:jc w:val="both"/>
        <w:rPr>
          <w:lang w:val="en-GB"/>
        </w:rPr>
      </w:pPr>
      <w:r w:rsidRPr="00180B8D">
        <w:rPr>
          <w:lang w:val="en-GB"/>
        </w:rPr>
        <w:t xml:space="preserve">132.1. failure to meet the requirements set for obtaining such prior </w:t>
      </w:r>
      <w:r w:rsidR="00637B03">
        <w:rPr>
          <w:lang w:val="en-GB"/>
        </w:rPr>
        <w:t>approval</w:t>
      </w:r>
      <w:r w:rsidRPr="00180B8D">
        <w:rPr>
          <w:lang w:val="en-GB"/>
        </w:rPr>
        <w:t>, as appropriate, and/or</w:t>
      </w:r>
    </w:p>
    <w:p w14:paraId="76F40E8D" w14:textId="77777777" w:rsidR="00657236" w:rsidRPr="00180B8D" w:rsidRDefault="00D655E7">
      <w:pPr>
        <w:pStyle w:val="P68B1DB1-Normal2"/>
        <w:spacing w:after="0" w:line="240" w:lineRule="auto"/>
        <w:ind w:firstLine="567"/>
        <w:jc w:val="both"/>
        <w:rPr>
          <w:lang w:val="en-GB"/>
        </w:rPr>
      </w:pPr>
      <w:r w:rsidRPr="00180B8D">
        <w:rPr>
          <w:lang w:val="en-GB"/>
        </w:rPr>
        <w:t xml:space="preserve">132.2. submission to the National Bank of Moldova of erroneous, inauthentic and/or contradictory </w:t>
      </w:r>
      <w:proofErr w:type="gramStart"/>
      <w:r w:rsidRPr="00180B8D">
        <w:rPr>
          <w:lang w:val="en-GB"/>
        </w:rPr>
        <w:t>information;</w:t>
      </w:r>
      <w:proofErr w:type="gramEnd"/>
    </w:p>
    <w:p w14:paraId="0BDF316F" w14:textId="62132240" w:rsidR="00657236" w:rsidRPr="00180B8D" w:rsidRDefault="00D655E7">
      <w:pPr>
        <w:pStyle w:val="P68B1DB1-Normal2"/>
        <w:spacing w:after="0" w:line="240" w:lineRule="auto"/>
        <w:ind w:firstLine="567"/>
        <w:jc w:val="both"/>
        <w:rPr>
          <w:lang w:val="en-GB"/>
        </w:rPr>
      </w:pPr>
      <w:r w:rsidRPr="00180B8D">
        <w:rPr>
          <w:lang w:val="en-GB"/>
        </w:rPr>
        <w:t xml:space="preserve">132.3. failure to submit documents and information confirming that the bank has met the requirements set for obtaining such prior </w:t>
      </w:r>
      <w:r w:rsidR="00637B03">
        <w:rPr>
          <w:lang w:val="en-GB"/>
        </w:rPr>
        <w:t>approval</w:t>
      </w:r>
      <w:r w:rsidRPr="00180B8D">
        <w:rPr>
          <w:lang w:val="en-GB"/>
        </w:rPr>
        <w:t>.</w:t>
      </w:r>
      <w:r w:rsidR="00C5363B">
        <w:rPr>
          <w:lang w:val="en-GB"/>
        </w:rPr>
        <w:t xml:space="preserve"> </w:t>
      </w:r>
    </w:p>
    <w:p w14:paraId="0C782CB2" w14:textId="259C41C3" w:rsidR="00657236" w:rsidRPr="00180B8D" w:rsidRDefault="00D655E7">
      <w:pPr>
        <w:pStyle w:val="P68B1DB1-Normal2"/>
        <w:spacing w:after="0" w:line="240" w:lineRule="auto"/>
        <w:ind w:firstLine="567"/>
        <w:jc w:val="both"/>
        <w:rPr>
          <w:lang w:val="en-GB"/>
        </w:rPr>
      </w:pPr>
      <w:r w:rsidRPr="00180B8D">
        <w:rPr>
          <w:b/>
          <w:lang w:val="en-GB"/>
        </w:rPr>
        <w:t>133.</w:t>
      </w:r>
      <w:r w:rsidRPr="00180B8D">
        <w:rPr>
          <w:lang w:val="en-GB"/>
        </w:rPr>
        <w:t xml:space="preserve"> The Bank has the right to apply the provisions set out in the prior </w:t>
      </w:r>
      <w:r w:rsidR="00637B03">
        <w:rPr>
          <w:lang w:val="en-GB"/>
        </w:rPr>
        <w:t>approval</w:t>
      </w:r>
      <w:r w:rsidR="00C5363B" w:rsidRPr="00180B8D">
        <w:rPr>
          <w:lang w:val="en-GB"/>
        </w:rPr>
        <w:t xml:space="preserve"> </w:t>
      </w:r>
      <w:r w:rsidRPr="00180B8D">
        <w:rPr>
          <w:lang w:val="en-GB"/>
        </w:rPr>
        <w:t xml:space="preserve">starting with the date of issuance of the prior </w:t>
      </w:r>
      <w:r w:rsidR="00637B03">
        <w:rPr>
          <w:lang w:val="en-GB"/>
        </w:rPr>
        <w:t>approval</w:t>
      </w:r>
      <w:r w:rsidRPr="00180B8D">
        <w:rPr>
          <w:lang w:val="en-GB"/>
        </w:rPr>
        <w:t>.</w:t>
      </w:r>
    </w:p>
    <w:p w14:paraId="79575312" w14:textId="77777777" w:rsidR="00657236" w:rsidRPr="00180B8D" w:rsidRDefault="00D655E7">
      <w:pPr>
        <w:pStyle w:val="P68B1DB1-Normal2"/>
        <w:spacing w:after="0" w:line="240" w:lineRule="auto"/>
        <w:ind w:firstLine="567"/>
        <w:jc w:val="both"/>
        <w:rPr>
          <w:lang w:val="en-GB"/>
        </w:rPr>
      </w:pPr>
      <w:r w:rsidRPr="00180B8D">
        <w:rPr>
          <w:lang w:val="en-GB"/>
        </w:rPr>
        <w:br w:type="page"/>
      </w:r>
      <w:r w:rsidRPr="00180B8D">
        <w:rPr>
          <w:lang w:val="en-GB"/>
        </w:rPr>
        <w:lastRenderedPageBreak/>
        <w:t> </w:t>
      </w:r>
    </w:p>
    <w:p w14:paraId="261AD266" w14:textId="77777777" w:rsidR="00657236" w:rsidRPr="00180B8D" w:rsidRDefault="00D655E7">
      <w:pPr>
        <w:pStyle w:val="P68B1DB1-Normal2"/>
        <w:spacing w:after="0" w:line="240" w:lineRule="auto"/>
        <w:jc w:val="right"/>
        <w:rPr>
          <w:lang w:val="en-GB"/>
        </w:rPr>
      </w:pPr>
      <w:r w:rsidRPr="00180B8D">
        <w:rPr>
          <w:lang w:val="en-GB"/>
        </w:rPr>
        <w:t>Annex</w:t>
      </w:r>
    </w:p>
    <w:p w14:paraId="6E066C71" w14:textId="77777777" w:rsidR="00657236" w:rsidRPr="00180B8D" w:rsidRDefault="00D655E7">
      <w:pPr>
        <w:pStyle w:val="P68B1DB1-Normal2"/>
        <w:spacing w:after="0" w:line="240" w:lineRule="auto"/>
        <w:jc w:val="right"/>
        <w:rPr>
          <w:lang w:val="en-GB"/>
        </w:rPr>
      </w:pPr>
      <w:r w:rsidRPr="00180B8D">
        <w:rPr>
          <w:lang w:val="en-GB"/>
        </w:rPr>
        <w:t>the Treatment Regulation</w:t>
      </w:r>
    </w:p>
    <w:p w14:paraId="077B1FA5" w14:textId="77777777" w:rsidR="00657236" w:rsidRPr="00180B8D" w:rsidRDefault="00D655E7">
      <w:pPr>
        <w:pStyle w:val="P68B1DB1-Normal2"/>
        <w:spacing w:after="0" w:line="240" w:lineRule="auto"/>
        <w:jc w:val="right"/>
        <w:rPr>
          <w:lang w:val="en-GB"/>
        </w:rPr>
      </w:pPr>
      <w:r w:rsidRPr="00180B8D">
        <w:rPr>
          <w:lang w:val="en-GB"/>
        </w:rPr>
        <w:t>credit valuation adjustment risk for banks</w:t>
      </w:r>
    </w:p>
    <w:p w14:paraId="1979A255" w14:textId="77777777" w:rsidR="00657236" w:rsidRPr="00180B8D" w:rsidRDefault="00D655E7">
      <w:pPr>
        <w:pStyle w:val="P68B1DB1-Normal2"/>
        <w:spacing w:after="0" w:line="240" w:lineRule="auto"/>
        <w:jc w:val="center"/>
        <w:rPr>
          <w:lang w:val="en-GB"/>
        </w:rPr>
      </w:pPr>
      <w:r w:rsidRPr="00180B8D">
        <w:rPr>
          <w:lang w:val="en-GB"/>
        </w:rPr>
        <w:t> </w:t>
      </w:r>
    </w:p>
    <w:p w14:paraId="6A5562DB" w14:textId="77777777" w:rsidR="00657236" w:rsidRPr="00180B8D" w:rsidRDefault="00D655E7">
      <w:pPr>
        <w:pStyle w:val="P68B1DB1-Normal1"/>
        <w:spacing w:after="0" w:line="240" w:lineRule="auto"/>
        <w:jc w:val="center"/>
        <w:rPr>
          <w:lang w:val="en-GB"/>
        </w:rPr>
      </w:pPr>
      <w:r w:rsidRPr="00180B8D">
        <w:rPr>
          <w:lang w:val="en-GB"/>
        </w:rPr>
        <w:t>List of documents</w:t>
      </w:r>
    </w:p>
    <w:p w14:paraId="68BE4C70" w14:textId="170D22D2" w:rsidR="00657236" w:rsidRPr="00180B8D" w:rsidRDefault="00D655E7">
      <w:pPr>
        <w:pStyle w:val="P68B1DB1-Normal1"/>
        <w:spacing w:after="0" w:line="240" w:lineRule="auto"/>
        <w:jc w:val="center"/>
        <w:rPr>
          <w:lang w:val="en-GB"/>
        </w:rPr>
      </w:pPr>
      <w:r w:rsidRPr="00180B8D">
        <w:rPr>
          <w:lang w:val="en-GB"/>
        </w:rPr>
        <w:t xml:space="preserve">to be attached to the request for prior </w:t>
      </w:r>
      <w:r w:rsidR="00637B03">
        <w:rPr>
          <w:lang w:val="en-GB"/>
        </w:rPr>
        <w:t>approval</w:t>
      </w:r>
    </w:p>
    <w:p w14:paraId="67875F91" w14:textId="4E40A5AC" w:rsidR="00657236" w:rsidRPr="00180B8D" w:rsidRDefault="00DE7848">
      <w:pPr>
        <w:pStyle w:val="P68B1DB1-Normal1"/>
        <w:spacing w:after="0" w:line="240" w:lineRule="auto"/>
        <w:jc w:val="center"/>
        <w:rPr>
          <w:lang w:val="en-GB"/>
        </w:rPr>
      </w:pPr>
      <w:r>
        <w:rPr>
          <w:lang w:val="en-GB"/>
        </w:rPr>
        <w:t xml:space="preserve">of </w:t>
      </w:r>
      <w:r w:rsidRPr="00180B8D">
        <w:rPr>
          <w:lang w:val="en-GB"/>
        </w:rPr>
        <w:t>the use of the standardised or basic approach</w:t>
      </w:r>
    </w:p>
    <w:p w14:paraId="4F6A39AE" w14:textId="3FD28127" w:rsidR="00657236" w:rsidRPr="00180B8D" w:rsidRDefault="00D655E7">
      <w:pPr>
        <w:pStyle w:val="P68B1DB1-Normal2"/>
        <w:spacing w:after="0" w:line="240" w:lineRule="auto"/>
        <w:ind w:firstLine="567"/>
        <w:jc w:val="both"/>
        <w:rPr>
          <w:lang w:val="en-GB"/>
        </w:rPr>
      </w:pPr>
      <w:r w:rsidRPr="00180B8D">
        <w:rPr>
          <w:b/>
          <w:lang w:val="en-GB"/>
        </w:rPr>
        <w:t>1.</w:t>
      </w:r>
      <w:r w:rsidRPr="00180B8D">
        <w:rPr>
          <w:lang w:val="en-GB"/>
        </w:rPr>
        <w:t xml:space="preserve"> A document, signed by a person authorised to represent the bank, </w:t>
      </w:r>
      <w:r w:rsidR="00DE7848" w:rsidRPr="00DE7848">
        <w:rPr>
          <w:lang w:val="en-GB"/>
        </w:rPr>
        <w:t>which</w:t>
      </w:r>
      <w:r w:rsidRPr="00180B8D">
        <w:rPr>
          <w:lang w:val="en-GB"/>
        </w:rPr>
        <w:t>:</w:t>
      </w:r>
    </w:p>
    <w:p w14:paraId="3933B9A7" w14:textId="029278EC" w:rsidR="00657236" w:rsidRPr="00180B8D" w:rsidRDefault="00D655E7">
      <w:pPr>
        <w:pStyle w:val="P68B1DB1-Normal2"/>
        <w:spacing w:after="0" w:line="240" w:lineRule="auto"/>
        <w:ind w:firstLine="567"/>
        <w:jc w:val="both"/>
        <w:rPr>
          <w:lang w:val="en-GB"/>
        </w:rPr>
      </w:pPr>
      <w:r w:rsidRPr="00180B8D">
        <w:rPr>
          <w:lang w:val="en-GB"/>
        </w:rPr>
        <w:t>1.1. describe</w:t>
      </w:r>
      <w:r w:rsidR="00DE7848">
        <w:rPr>
          <w:lang w:val="en-GB"/>
        </w:rPr>
        <w:t>s</w:t>
      </w:r>
      <w:r w:rsidRPr="00180B8D">
        <w:rPr>
          <w:lang w:val="en-GB"/>
        </w:rPr>
        <w:t xml:space="preserve"> the process of applying the </w:t>
      </w:r>
      <w:r w:rsidR="00DE7848">
        <w:rPr>
          <w:lang w:val="en-GB"/>
        </w:rPr>
        <w:t>s</w:t>
      </w:r>
      <w:r w:rsidRPr="00180B8D">
        <w:rPr>
          <w:lang w:val="en-GB"/>
        </w:rPr>
        <w:t xml:space="preserve">tandardised or </w:t>
      </w:r>
      <w:r w:rsidR="00DE7848">
        <w:rPr>
          <w:lang w:val="en-GB"/>
        </w:rPr>
        <w:t>b</w:t>
      </w:r>
      <w:r w:rsidRPr="00180B8D">
        <w:rPr>
          <w:lang w:val="en-GB"/>
        </w:rPr>
        <w:t xml:space="preserve">asic </w:t>
      </w:r>
      <w:r w:rsidR="00DE7848">
        <w:rPr>
          <w:lang w:val="en-GB"/>
        </w:rPr>
        <w:t>a</w:t>
      </w:r>
      <w:r w:rsidRPr="00180B8D">
        <w:rPr>
          <w:lang w:val="en-GB"/>
        </w:rPr>
        <w:t xml:space="preserve">pproach, set out its conclusions, confirming the bank's compliance with the specific requirements for applying the </w:t>
      </w:r>
      <w:r w:rsidR="00DE7848">
        <w:rPr>
          <w:lang w:val="en-GB"/>
        </w:rPr>
        <w:t>s</w:t>
      </w:r>
      <w:r w:rsidRPr="00180B8D">
        <w:rPr>
          <w:lang w:val="en-GB"/>
        </w:rPr>
        <w:t xml:space="preserve">tandardised or </w:t>
      </w:r>
      <w:r w:rsidR="00DE7848">
        <w:rPr>
          <w:lang w:val="en-GB"/>
        </w:rPr>
        <w:t>b</w:t>
      </w:r>
      <w:r w:rsidRPr="00180B8D">
        <w:rPr>
          <w:lang w:val="en-GB"/>
        </w:rPr>
        <w:t xml:space="preserve">asic </w:t>
      </w:r>
      <w:proofErr w:type="gramStart"/>
      <w:r w:rsidR="00DE7848">
        <w:rPr>
          <w:lang w:val="en-GB"/>
        </w:rPr>
        <w:t>a</w:t>
      </w:r>
      <w:r w:rsidRPr="00180B8D">
        <w:rPr>
          <w:lang w:val="en-GB"/>
        </w:rPr>
        <w:t>pproach;</w:t>
      </w:r>
      <w:proofErr w:type="gramEnd"/>
    </w:p>
    <w:p w14:paraId="106615A9" w14:textId="3AF9E495" w:rsidR="00657236" w:rsidRPr="00180B8D" w:rsidRDefault="00D655E7">
      <w:pPr>
        <w:pStyle w:val="P68B1DB1-Normal2"/>
        <w:spacing w:after="0" w:line="240" w:lineRule="auto"/>
        <w:ind w:firstLine="567"/>
        <w:jc w:val="both"/>
        <w:rPr>
          <w:lang w:val="en-GB"/>
        </w:rPr>
      </w:pPr>
      <w:r w:rsidRPr="00180B8D">
        <w:rPr>
          <w:lang w:val="en-GB"/>
        </w:rPr>
        <w:t>1.2. communicate</w:t>
      </w:r>
      <w:r w:rsidR="00DE7848">
        <w:rPr>
          <w:lang w:val="en-GB"/>
        </w:rPr>
        <w:t>s</w:t>
      </w:r>
      <w:r w:rsidRPr="00180B8D">
        <w:rPr>
          <w:lang w:val="en-GB"/>
        </w:rPr>
        <w:t xml:space="preserve"> the structure of the group to which the bank belongs, the competent authorities responsible for supervising its members and the standardised or basic approach used by it – in the cases specified in paragraphs 11, 15, 17, 26 and 114 of the Regulation on the treatment of credit valuation adjustment risk </w:t>
      </w:r>
      <w:r w:rsidR="00DE7848">
        <w:rPr>
          <w:lang w:val="en-GB"/>
        </w:rPr>
        <w:t>for</w:t>
      </w:r>
      <w:r w:rsidRPr="00180B8D">
        <w:rPr>
          <w:lang w:val="en-GB"/>
        </w:rPr>
        <w:t xml:space="preserve"> banks.</w:t>
      </w:r>
    </w:p>
    <w:p w14:paraId="3759ADA4" w14:textId="420E98D5" w:rsidR="00657236" w:rsidRPr="00180B8D" w:rsidRDefault="00D655E7">
      <w:pPr>
        <w:pStyle w:val="P68B1DB1-Normal2"/>
        <w:spacing w:after="0" w:line="240" w:lineRule="auto"/>
        <w:ind w:firstLine="567"/>
        <w:jc w:val="both"/>
        <w:rPr>
          <w:lang w:val="en-GB"/>
        </w:rPr>
      </w:pPr>
      <w:r w:rsidRPr="00180B8D">
        <w:rPr>
          <w:b/>
          <w:lang w:val="en-GB"/>
        </w:rPr>
        <w:t>2.</w:t>
      </w:r>
      <w:r w:rsidRPr="00180B8D">
        <w:rPr>
          <w:lang w:val="en-GB"/>
        </w:rPr>
        <w:t xml:space="preserve"> The internal audit report assessing the adequacy of the credit valuation adjustment risk management system and of the application process of the </w:t>
      </w:r>
      <w:r w:rsidR="00DE7848">
        <w:rPr>
          <w:lang w:val="en-GB"/>
        </w:rPr>
        <w:t>s</w:t>
      </w:r>
      <w:r w:rsidRPr="00180B8D">
        <w:rPr>
          <w:lang w:val="en-GB"/>
        </w:rPr>
        <w:t xml:space="preserve">tandardised or </w:t>
      </w:r>
      <w:r w:rsidR="00DE7848">
        <w:rPr>
          <w:lang w:val="en-GB"/>
        </w:rPr>
        <w:t>b</w:t>
      </w:r>
      <w:r w:rsidRPr="00180B8D">
        <w:rPr>
          <w:lang w:val="en-GB"/>
        </w:rPr>
        <w:t xml:space="preserve">asic </w:t>
      </w:r>
      <w:r w:rsidR="00DE7848">
        <w:rPr>
          <w:lang w:val="en-GB"/>
        </w:rPr>
        <w:t>a</w:t>
      </w:r>
      <w:r w:rsidRPr="00180B8D">
        <w:rPr>
          <w:lang w:val="en-GB"/>
        </w:rPr>
        <w:t>pproach will follow the compliance with the requirements specified in the Regulation on the treatment of credit valuation adjustment risk for banks.</w:t>
      </w:r>
    </w:p>
    <w:p w14:paraId="06673DBB" w14:textId="32745DC4" w:rsidR="00657236" w:rsidRPr="00180B8D" w:rsidRDefault="00D655E7">
      <w:pPr>
        <w:pStyle w:val="P68B1DB1-Normal2"/>
        <w:spacing w:after="0" w:line="240" w:lineRule="auto"/>
        <w:ind w:firstLine="567"/>
        <w:jc w:val="both"/>
        <w:rPr>
          <w:lang w:val="en-GB"/>
        </w:rPr>
      </w:pPr>
      <w:r w:rsidRPr="00180B8D">
        <w:rPr>
          <w:b/>
          <w:lang w:val="en-GB"/>
        </w:rPr>
        <w:t>3.</w:t>
      </w:r>
      <w:r w:rsidRPr="00180B8D">
        <w:rPr>
          <w:lang w:val="en-GB"/>
        </w:rPr>
        <w:t xml:space="preserve"> Form C 25.01 on credit valuation adjustment risk (CVA) set out in the Instruction on </w:t>
      </w:r>
      <w:r w:rsidR="00874B79" w:rsidRPr="00180B8D">
        <w:rPr>
          <w:lang w:val="en-GB"/>
        </w:rPr>
        <w:t xml:space="preserve">submission </w:t>
      </w:r>
      <w:r w:rsidR="00874B79">
        <w:rPr>
          <w:lang w:val="en-GB"/>
        </w:rPr>
        <w:t xml:space="preserve">by </w:t>
      </w:r>
      <w:r w:rsidRPr="00180B8D">
        <w:rPr>
          <w:lang w:val="en-GB"/>
        </w:rPr>
        <w:t xml:space="preserve">banks of COREP reports for supervisory purposes, approved by </w:t>
      </w:r>
      <w:r w:rsidR="00874B79" w:rsidRPr="00180B8D">
        <w:rPr>
          <w:lang w:val="en-GB"/>
        </w:rPr>
        <w:t>Decision No 117/2018</w:t>
      </w:r>
      <w:r w:rsidR="00874B79">
        <w:rPr>
          <w:lang w:val="en-GB"/>
        </w:rPr>
        <w:t xml:space="preserve"> of the </w:t>
      </w:r>
      <w:r w:rsidRPr="00180B8D">
        <w:rPr>
          <w:lang w:val="en-GB"/>
        </w:rPr>
        <w:t>National Bank, accompanied by the method for determining relevant indicators for business lines.</w:t>
      </w:r>
    </w:p>
    <w:p w14:paraId="41B7D78C" w14:textId="77777777" w:rsidR="00657236" w:rsidRPr="00180B8D" w:rsidRDefault="00D655E7">
      <w:pPr>
        <w:pStyle w:val="P68B1DB1-Normal2"/>
        <w:spacing w:after="0" w:line="240" w:lineRule="auto"/>
        <w:jc w:val="center"/>
        <w:rPr>
          <w:lang w:val="en-GB"/>
        </w:rPr>
      </w:pPr>
      <w:r w:rsidRPr="00180B8D">
        <w:rPr>
          <w:lang w:val="en-GB"/>
        </w:rPr>
        <w:t> </w:t>
      </w:r>
    </w:p>
    <w:p w14:paraId="7AE2AF55" w14:textId="77777777" w:rsidR="00657236" w:rsidRPr="00180B8D" w:rsidRDefault="00657236">
      <w:pPr>
        <w:rPr>
          <w:rFonts w:ascii="Times New Roman" w:hAnsi="Times New Roman" w:cs="Times New Roman"/>
          <w:sz w:val="24"/>
          <w:szCs w:val="24"/>
          <w:lang w:val="en-GB"/>
        </w:rPr>
      </w:pPr>
    </w:p>
    <w:sectPr w:rsidR="00657236" w:rsidRPr="00180B8D">
      <w:footerReference w:type="default" r:id="rId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7BBD" w14:textId="77777777" w:rsidR="00F319B9" w:rsidRDefault="00F319B9">
      <w:pPr>
        <w:spacing w:after="0" w:line="240" w:lineRule="auto"/>
      </w:pPr>
      <w:r>
        <w:separator/>
      </w:r>
    </w:p>
  </w:endnote>
  <w:endnote w:type="continuationSeparator" w:id="0">
    <w:p w14:paraId="2140768D" w14:textId="77777777" w:rsidR="00F319B9" w:rsidRDefault="00F3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626"/>
      <w:docPartObj>
        <w:docPartGallery w:val="Page Numbers (Bottom of Page)"/>
        <w:docPartUnique/>
      </w:docPartObj>
    </w:sdtPr>
    <w:sdtEndPr>
      <w:rPr>
        <w:noProof/>
      </w:rPr>
    </w:sdtEndPr>
    <w:sdtContent>
      <w:p w14:paraId="0531A608" w14:textId="1206D11B" w:rsidR="00657236" w:rsidRDefault="00D655E7">
        <w:pPr>
          <w:pStyle w:val="P68B1DB1-Footer5"/>
          <w:jc w:val="right"/>
        </w:pPr>
        <w:r>
          <w:fldChar w:fldCharType="begin"/>
        </w:r>
        <w:r>
          <w:instrText xml:space="preserve"> PAGE   \* MERGEFORMAT </w:instrText>
        </w:r>
        <w:r>
          <w:fldChar w:fldCharType="separate"/>
        </w:r>
        <w:r>
          <w:t>2</w:t>
        </w:r>
        <w:r>
          <w:fldChar w:fldCharType="end"/>
        </w:r>
      </w:p>
    </w:sdtContent>
  </w:sdt>
  <w:p w14:paraId="677C3DC3" w14:textId="77777777" w:rsidR="00657236" w:rsidRDefault="00657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D3DE" w14:textId="77777777" w:rsidR="00F319B9" w:rsidRDefault="00F319B9">
      <w:pPr>
        <w:spacing w:after="0" w:line="240" w:lineRule="auto"/>
      </w:pPr>
      <w:r>
        <w:separator/>
      </w:r>
    </w:p>
  </w:footnote>
  <w:footnote w:type="continuationSeparator" w:id="0">
    <w:p w14:paraId="190DDECE" w14:textId="77777777" w:rsidR="00F319B9" w:rsidRDefault="00F319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0E5"/>
    <w:rsid w:val="00031A51"/>
    <w:rsid w:val="00032C4B"/>
    <w:rsid w:val="00047228"/>
    <w:rsid w:val="000D14F9"/>
    <w:rsid w:val="000D2B3D"/>
    <w:rsid w:val="001008D1"/>
    <w:rsid w:val="00115A3C"/>
    <w:rsid w:val="00122C81"/>
    <w:rsid w:val="00130C16"/>
    <w:rsid w:val="001552B3"/>
    <w:rsid w:val="00170C13"/>
    <w:rsid w:val="00180B8D"/>
    <w:rsid w:val="001B0494"/>
    <w:rsid w:val="001D6865"/>
    <w:rsid w:val="001E148C"/>
    <w:rsid w:val="00213833"/>
    <w:rsid w:val="00234FFF"/>
    <w:rsid w:val="00264B44"/>
    <w:rsid w:val="002705A1"/>
    <w:rsid w:val="002712F2"/>
    <w:rsid w:val="0027632F"/>
    <w:rsid w:val="00292392"/>
    <w:rsid w:val="002940E5"/>
    <w:rsid w:val="002A3787"/>
    <w:rsid w:val="002C32FF"/>
    <w:rsid w:val="002E27F1"/>
    <w:rsid w:val="002E2994"/>
    <w:rsid w:val="003101D5"/>
    <w:rsid w:val="003120B4"/>
    <w:rsid w:val="00351221"/>
    <w:rsid w:val="00472DDF"/>
    <w:rsid w:val="004D3F83"/>
    <w:rsid w:val="00527EED"/>
    <w:rsid w:val="00530D3E"/>
    <w:rsid w:val="00543539"/>
    <w:rsid w:val="00554313"/>
    <w:rsid w:val="005739B0"/>
    <w:rsid w:val="00580964"/>
    <w:rsid w:val="005B47F9"/>
    <w:rsid w:val="005C22E8"/>
    <w:rsid w:val="005F0F0B"/>
    <w:rsid w:val="00601AA8"/>
    <w:rsid w:val="00607398"/>
    <w:rsid w:val="006147EF"/>
    <w:rsid w:val="00621B38"/>
    <w:rsid w:val="00637B03"/>
    <w:rsid w:val="00651F16"/>
    <w:rsid w:val="00656AEB"/>
    <w:rsid w:val="00657236"/>
    <w:rsid w:val="00661A5E"/>
    <w:rsid w:val="00670310"/>
    <w:rsid w:val="00685F30"/>
    <w:rsid w:val="006A549D"/>
    <w:rsid w:val="006C5E3F"/>
    <w:rsid w:val="00737862"/>
    <w:rsid w:val="007573F7"/>
    <w:rsid w:val="0076420C"/>
    <w:rsid w:val="007A7034"/>
    <w:rsid w:val="007D0BB4"/>
    <w:rsid w:val="007E2F16"/>
    <w:rsid w:val="00816A05"/>
    <w:rsid w:val="00821DB7"/>
    <w:rsid w:val="008258BF"/>
    <w:rsid w:val="00834BD7"/>
    <w:rsid w:val="00840B2E"/>
    <w:rsid w:val="0086180D"/>
    <w:rsid w:val="00874B79"/>
    <w:rsid w:val="008941F1"/>
    <w:rsid w:val="008A1BEB"/>
    <w:rsid w:val="008D48F4"/>
    <w:rsid w:val="00905F6F"/>
    <w:rsid w:val="00933828"/>
    <w:rsid w:val="00941631"/>
    <w:rsid w:val="00987038"/>
    <w:rsid w:val="009B03A2"/>
    <w:rsid w:val="009B1E47"/>
    <w:rsid w:val="009C3131"/>
    <w:rsid w:val="009D0E6E"/>
    <w:rsid w:val="009F15A2"/>
    <w:rsid w:val="00A1339F"/>
    <w:rsid w:val="00A17BE5"/>
    <w:rsid w:val="00A22335"/>
    <w:rsid w:val="00A64C3E"/>
    <w:rsid w:val="00A75559"/>
    <w:rsid w:val="00AA4591"/>
    <w:rsid w:val="00AB6411"/>
    <w:rsid w:val="00AE45A5"/>
    <w:rsid w:val="00AF0402"/>
    <w:rsid w:val="00B30231"/>
    <w:rsid w:val="00B403DC"/>
    <w:rsid w:val="00B65EB9"/>
    <w:rsid w:val="00B7272D"/>
    <w:rsid w:val="00B7500A"/>
    <w:rsid w:val="00BA3D5E"/>
    <w:rsid w:val="00BB0D1B"/>
    <w:rsid w:val="00BE184D"/>
    <w:rsid w:val="00C15E27"/>
    <w:rsid w:val="00C214AB"/>
    <w:rsid w:val="00C5363B"/>
    <w:rsid w:val="00CB66C1"/>
    <w:rsid w:val="00CE137D"/>
    <w:rsid w:val="00CE1638"/>
    <w:rsid w:val="00CE22AC"/>
    <w:rsid w:val="00D251B0"/>
    <w:rsid w:val="00D41853"/>
    <w:rsid w:val="00D54338"/>
    <w:rsid w:val="00D655E7"/>
    <w:rsid w:val="00D77A08"/>
    <w:rsid w:val="00DB3CEE"/>
    <w:rsid w:val="00DC5F9E"/>
    <w:rsid w:val="00DE7848"/>
    <w:rsid w:val="00DF1E8F"/>
    <w:rsid w:val="00E264E9"/>
    <w:rsid w:val="00E36B4D"/>
    <w:rsid w:val="00E51307"/>
    <w:rsid w:val="00E52406"/>
    <w:rsid w:val="00E809E2"/>
    <w:rsid w:val="00E90355"/>
    <w:rsid w:val="00EC12F5"/>
    <w:rsid w:val="00EC214C"/>
    <w:rsid w:val="00EC6617"/>
    <w:rsid w:val="00F319B9"/>
    <w:rsid w:val="00F324A7"/>
    <w:rsid w:val="00F72FC3"/>
    <w:rsid w:val="00F96E77"/>
    <w:rsid w:val="00FC5986"/>
  </w:rsids>
  <m:mathPr>
    <m:mathFont m:val="Cambria Math"/>
    <m:brkBin m:val="before"/>
    <m:brkBinSub m:val="--"/>
    <m:smallFrac m:val="0"/>
    <m:dispDef/>
    <m:lMargin m:val="0"/>
    <m:rMargin m:val="0"/>
    <m:defJc m:val="centerGroup"/>
    <m:wrapIndent m:val="1440"/>
    <m:intLim m:val="subSup"/>
    <m:naryLim m:val="undOvr"/>
  </m:mathPr>
  <w:themeFontLang w:val="ro-M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4B3A5"/>
  <w15:chartTrackingRefBased/>
  <w15:docId w15:val="{4F2C1F52-F68D-4E49-87ED-976EF7E6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b">
    <w:name w:val="cb"/>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t">
    <w:name w:val="tt"/>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n">
    <w:name w:val="cn"/>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2940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b">
    <w:name w:val="pb"/>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tsp">
    <w:name w:val="tt_sp"/>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g">
    <w:name w:val="rg"/>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f">
    <w:name w:val="lf"/>
    <w:basedOn w:val="Normal"/>
    <w:rsid w:val="002940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2940E5"/>
    <w:pPr>
      <w:tabs>
        <w:tab w:val="center" w:pos="4677"/>
        <w:tab w:val="right" w:pos="9355"/>
      </w:tabs>
      <w:spacing w:after="0" w:line="240" w:lineRule="auto"/>
    </w:pPr>
  </w:style>
  <w:style w:type="character" w:customStyle="1" w:styleId="HeaderChar">
    <w:name w:val="Header Char"/>
    <w:basedOn w:val="DefaultParagraphFont"/>
    <w:link w:val="Header"/>
    <w:uiPriority w:val="99"/>
    <w:rsid w:val="002940E5"/>
  </w:style>
  <w:style w:type="paragraph" w:styleId="Footer">
    <w:name w:val="footer"/>
    <w:basedOn w:val="Normal"/>
    <w:link w:val="FooterChar"/>
    <w:uiPriority w:val="99"/>
    <w:unhideWhenUsed/>
    <w:rsid w:val="002940E5"/>
    <w:pPr>
      <w:tabs>
        <w:tab w:val="center" w:pos="4677"/>
        <w:tab w:val="right" w:pos="9355"/>
      </w:tabs>
      <w:spacing w:after="0" w:line="240" w:lineRule="auto"/>
    </w:pPr>
  </w:style>
  <w:style w:type="character" w:customStyle="1" w:styleId="FooterChar">
    <w:name w:val="Footer Char"/>
    <w:basedOn w:val="DefaultParagraphFont"/>
    <w:link w:val="Footer"/>
    <w:uiPriority w:val="99"/>
    <w:rsid w:val="002940E5"/>
  </w:style>
  <w:style w:type="paragraph" w:customStyle="1" w:styleId="P68B1DB1-Normal1">
    <w:name w:val="P68B1DB1-Normal1"/>
    <w:basedOn w:val="Normal"/>
    <w:rPr>
      <w:rFonts w:ascii="Times New Roman" w:eastAsia="Times New Roman" w:hAnsi="Times New Roman" w:cs="Times New Roman"/>
      <w:b/>
      <w:kern w:val="0"/>
      <w:sz w:val="24"/>
      <w:szCs w:val="24"/>
      <w14:ligatures w14:val="none"/>
    </w:rPr>
  </w:style>
  <w:style w:type="paragraph" w:customStyle="1" w:styleId="P68B1DB1-Normal2">
    <w:name w:val="P68B1DB1-Normal2"/>
    <w:basedOn w:val="Normal"/>
    <w:rPr>
      <w:rFonts w:ascii="Times New Roman" w:eastAsia="Times New Roman" w:hAnsi="Times New Roman" w:cs="Times New Roman"/>
      <w:kern w:val="0"/>
      <w:sz w:val="24"/>
      <w:szCs w:val="24"/>
      <w14:ligatures w14:val="none"/>
    </w:rPr>
  </w:style>
  <w:style w:type="paragraph" w:customStyle="1" w:styleId="P68B1DB1-Normal3">
    <w:name w:val="P68B1DB1-Normal3"/>
    <w:basedOn w:val="Normal"/>
    <w:rPr>
      <w:rFonts w:ascii="Times New Roman" w:eastAsia="Times New Roman" w:hAnsi="Times New Roman" w:cs="Times New Roman"/>
      <w:b/>
      <w:i/>
      <w:kern w:val="0"/>
      <w:sz w:val="24"/>
      <w:szCs w:val="24"/>
      <w14:ligatures w14:val="none"/>
    </w:rPr>
  </w:style>
  <w:style w:type="paragraph" w:customStyle="1" w:styleId="P68B1DB1-Normal4">
    <w:name w:val="P68B1DB1-Normal4"/>
    <w:basedOn w:val="Normal"/>
    <w:rPr>
      <w:rFonts w:ascii="Times New Roman" w:eastAsia="Times New Roman" w:hAnsi="Times New Roman" w:cs="Times New Roman"/>
      <w:i/>
      <w:kern w:val="0"/>
      <w:sz w:val="24"/>
      <w:szCs w:val="24"/>
      <w14:ligatures w14:val="none"/>
    </w:rPr>
  </w:style>
  <w:style w:type="paragraph" w:customStyle="1" w:styleId="P68B1DB1-Footer5">
    <w:name w:val="P68B1DB1-Footer5"/>
    <w:basedOn w:val="Footer"/>
    <w:rPr>
      <w:rFonts w:ascii="Times New Roman" w:hAnsi="Times New Roman" w:cs="Times New Roman"/>
    </w:rPr>
  </w:style>
  <w:style w:type="paragraph" w:customStyle="1" w:styleId="dlist-term">
    <w:name w:val="dlist-term"/>
    <w:basedOn w:val="Normal"/>
    <w:rsid w:val="00EC12F5"/>
    <w:pPr>
      <w:spacing w:before="100" w:beforeAutospacing="1" w:after="100" w:afterAutospacing="1" w:line="240" w:lineRule="auto"/>
    </w:pPr>
    <w:rPr>
      <w:rFonts w:ascii="Times New Roman" w:eastAsia="Times New Roman" w:hAnsi="Times New Roman" w:cs="Times New Roman"/>
      <w:kern w:val="0"/>
      <w:sz w:val="24"/>
      <w:szCs w:val="24"/>
      <w:lang w:val="ro-MD"/>
      <w14:ligatures w14:val="none"/>
    </w:rPr>
  </w:style>
  <w:style w:type="character" w:customStyle="1" w:styleId="italics">
    <w:name w:val="italics"/>
    <w:basedOn w:val="DefaultParagraphFont"/>
    <w:rsid w:val="00EC12F5"/>
  </w:style>
  <w:style w:type="character" w:customStyle="1" w:styleId="superscript">
    <w:name w:val="superscript"/>
    <w:basedOn w:val="DefaultParagraphFont"/>
    <w:rsid w:val="00EC1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9073">
      <w:bodyDiv w:val="1"/>
      <w:marLeft w:val="0"/>
      <w:marRight w:val="0"/>
      <w:marTop w:val="0"/>
      <w:marBottom w:val="0"/>
      <w:divBdr>
        <w:top w:val="none" w:sz="0" w:space="0" w:color="auto"/>
        <w:left w:val="none" w:sz="0" w:space="0" w:color="auto"/>
        <w:bottom w:val="none" w:sz="0" w:space="0" w:color="auto"/>
        <w:right w:val="none" w:sz="0" w:space="0" w:color="auto"/>
      </w:divBdr>
    </w:div>
    <w:div w:id="34236714">
      <w:bodyDiv w:val="1"/>
      <w:marLeft w:val="0"/>
      <w:marRight w:val="0"/>
      <w:marTop w:val="0"/>
      <w:marBottom w:val="0"/>
      <w:divBdr>
        <w:top w:val="none" w:sz="0" w:space="0" w:color="auto"/>
        <w:left w:val="none" w:sz="0" w:space="0" w:color="auto"/>
        <w:bottom w:val="none" w:sz="0" w:space="0" w:color="auto"/>
        <w:right w:val="none" w:sz="0" w:space="0" w:color="auto"/>
      </w:divBdr>
    </w:div>
    <w:div w:id="45640813">
      <w:bodyDiv w:val="1"/>
      <w:marLeft w:val="0"/>
      <w:marRight w:val="0"/>
      <w:marTop w:val="0"/>
      <w:marBottom w:val="0"/>
      <w:divBdr>
        <w:top w:val="none" w:sz="0" w:space="0" w:color="auto"/>
        <w:left w:val="none" w:sz="0" w:space="0" w:color="auto"/>
        <w:bottom w:val="none" w:sz="0" w:space="0" w:color="auto"/>
        <w:right w:val="none" w:sz="0" w:space="0" w:color="auto"/>
      </w:divBdr>
    </w:div>
    <w:div w:id="119150124">
      <w:bodyDiv w:val="1"/>
      <w:marLeft w:val="0"/>
      <w:marRight w:val="0"/>
      <w:marTop w:val="0"/>
      <w:marBottom w:val="0"/>
      <w:divBdr>
        <w:top w:val="none" w:sz="0" w:space="0" w:color="auto"/>
        <w:left w:val="none" w:sz="0" w:space="0" w:color="auto"/>
        <w:bottom w:val="none" w:sz="0" w:space="0" w:color="auto"/>
        <w:right w:val="none" w:sz="0" w:space="0" w:color="auto"/>
      </w:divBdr>
    </w:div>
    <w:div w:id="214390457">
      <w:bodyDiv w:val="1"/>
      <w:marLeft w:val="0"/>
      <w:marRight w:val="0"/>
      <w:marTop w:val="0"/>
      <w:marBottom w:val="0"/>
      <w:divBdr>
        <w:top w:val="none" w:sz="0" w:space="0" w:color="auto"/>
        <w:left w:val="none" w:sz="0" w:space="0" w:color="auto"/>
        <w:bottom w:val="none" w:sz="0" w:space="0" w:color="auto"/>
        <w:right w:val="none" w:sz="0" w:space="0" w:color="auto"/>
      </w:divBdr>
    </w:div>
    <w:div w:id="262035131">
      <w:bodyDiv w:val="1"/>
      <w:marLeft w:val="0"/>
      <w:marRight w:val="0"/>
      <w:marTop w:val="0"/>
      <w:marBottom w:val="0"/>
      <w:divBdr>
        <w:top w:val="none" w:sz="0" w:space="0" w:color="auto"/>
        <w:left w:val="none" w:sz="0" w:space="0" w:color="auto"/>
        <w:bottom w:val="none" w:sz="0" w:space="0" w:color="auto"/>
        <w:right w:val="none" w:sz="0" w:space="0" w:color="auto"/>
      </w:divBdr>
    </w:div>
    <w:div w:id="324092643">
      <w:bodyDiv w:val="1"/>
      <w:marLeft w:val="0"/>
      <w:marRight w:val="0"/>
      <w:marTop w:val="0"/>
      <w:marBottom w:val="0"/>
      <w:divBdr>
        <w:top w:val="none" w:sz="0" w:space="0" w:color="auto"/>
        <w:left w:val="none" w:sz="0" w:space="0" w:color="auto"/>
        <w:bottom w:val="none" w:sz="0" w:space="0" w:color="auto"/>
        <w:right w:val="none" w:sz="0" w:space="0" w:color="auto"/>
      </w:divBdr>
    </w:div>
    <w:div w:id="508570776">
      <w:bodyDiv w:val="1"/>
      <w:marLeft w:val="0"/>
      <w:marRight w:val="0"/>
      <w:marTop w:val="0"/>
      <w:marBottom w:val="0"/>
      <w:divBdr>
        <w:top w:val="none" w:sz="0" w:space="0" w:color="auto"/>
        <w:left w:val="none" w:sz="0" w:space="0" w:color="auto"/>
        <w:bottom w:val="none" w:sz="0" w:space="0" w:color="auto"/>
        <w:right w:val="none" w:sz="0" w:space="0" w:color="auto"/>
      </w:divBdr>
    </w:div>
    <w:div w:id="881210659">
      <w:bodyDiv w:val="1"/>
      <w:marLeft w:val="0"/>
      <w:marRight w:val="0"/>
      <w:marTop w:val="0"/>
      <w:marBottom w:val="0"/>
      <w:divBdr>
        <w:top w:val="none" w:sz="0" w:space="0" w:color="auto"/>
        <w:left w:val="none" w:sz="0" w:space="0" w:color="auto"/>
        <w:bottom w:val="none" w:sz="0" w:space="0" w:color="auto"/>
        <w:right w:val="none" w:sz="0" w:space="0" w:color="auto"/>
      </w:divBdr>
    </w:div>
    <w:div w:id="1134830023">
      <w:bodyDiv w:val="1"/>
      <w:marLeft w:val="0"/>
      <w:marRight w:val="0"/>
      <w:marTop w:val="0"/>
      <w:marBottom w:val="0"/>
      <w:divBdr>
        <w:top w:val="none" w:sz="0" w:space="0" w:color="auto"/>
        <w:left w:val="none" w:sz="0" w:space="0" w:color="auto"/>
        <w:bottom w:val="none" w:sz="0" w:space="0" w:color="auto"/>
        <w:right w:val="none" w:sz="0" w:space="0" w:color="auto"/>
      </w:divBdr>
    </w:div>
    <w:div w:id="1329089510">
      <w:bodyDiv w:val="1"/>
      <w:marLeft w:val="0"/>
      <w:marRight w:val="0"/>
      <w:marTop w:val="0"/>
      <w:marBottom w:val="0"/>
      <w:divBdr>
        <w:top w:val="none" w:sz="0" w:space="0" w:color="auto"/>
        <w:left w:val="none" w:sz="0" w:space="0" w:color="auto"/>
        <w:bottom w:val="none" w:sz="0" w:space="0" w:color="auto"/>
        <w:right w:val="none" w:sz="0" w:space="0" w:color="auto"/>
      </w:divBdr>
    </w:div>
    <w:div w:id="1384525704">
      <w:bodyDiv w:val="1"/>
      <w:marLeft w:val="0"/>
      <w:marRight w:val="0"/>
      <w:marTop w:val="0"/>
      <w:marBottom w:val="0"/>
      <w:divBdr>
        <w:top w:val="none" w:sz="0" w:space="0" w:color="auto"/>
        <w:left w:val="none" w:sz="0" w:space="0" w:color="auto"/>
        <w:bottom w:val="none" w:sz="0" w:space="0" w:color="auto"/>
        <w:right w:val="none" w:sz="0" w:space="0" w:color="auto"/>
      </w:divBdr>
    </w:div>
    <w:div w:id="1813131004">
      <w:bodyDiv w:val="1"/>
      <w:marLeft w:val="0"/>
      <w:marRight w:val="0"/>
      <w:marTop w:val="0"/>
      <w:marBottom w:val="0"/>
      <w:divBdr>
        <w:top w:val="none" w:sz="0" w:space="0" w:color="auto"/>
        <w:left w:val="none" w:sz="0" w:space="0" w:color="auto"/>
        <w:bottom w:val="none" w:sz="0" w:space="0" w:color="auto"/>
        <w:right w:val="none" w:sz="0" w:space="0" w:color="auto"/>
      </w:divBdr>
    </w:div>
    <w:div w:id="188582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4.jpeg" Type="http://schemas.openxmlformats.org/officeDocument/2006/relationships/image"/><Relationship Id="rId11" Target="media/image5.jpeg" Type="http://schemas.openxmlformats.org/officeDocument/2006/relationships/image"/><Relationship Id="rId12" Target="media/image6.jpeg" Type="http://schemas.openxmlformats.org/officeDocument/2006/relationships/image"/><Relationship Id="rId13" Target="media/image7.jpeg" Type="http://schemas.openxmlformats.org/officeDocument/2006/relationships/image"/><Relationship Id="rId14" Target="media/image8.jpeg" Type="http://schemas.openxmlformats.org/officeDocument/2006/relationships/image"/><Relationship Id="rId15" Target="media/image9.jpeg" Type="http://schemas.openxmlformats.org/officeDocument/2006/relationships/image"/><Relationship Id="rId16" Target="media/image10.gif" Type="http://schemas.openxmlformats.org/officeDocument/2006/relationships/image"/><Relationship Id="rId17" Target="media/image11.gif" Type="http://schemas.openxmlformats.org/officeDocument/2006/relationships/image"/><Relationship Id="rId18" Target="media/image12.jpeg" Type="http://schemas.openxmlformats.org/officeDocument/2006/relationships/image"/><Relationship Id="rId19" Target="media/image13.jpeg" Type="http://schemas.openxmlformats.org/officeDocument/2006/relationships/image"/><Relationship Id="rId2" Target="styles.xml" Type="http://schemas.openxmlformats.org/officeDocument/2006/relationships/styles"/><Relationship Id="rId20" Target="media/image14.gif" Type="http://schemas.openxmlformats.org/officeDocument/2006/relationships/image"/><Relationship Id="rId21" Target="media/image15.jpeg" Type="http://schemas.openxmlformats.org/officeDocument/2006/relationships/image"/><Relationship Id="rId22" Target="media/image16.jpeg" Type="http://schemas.openxmlformats.org/officeDocument/2006/relationships/image"/><Relationship Id="rId23" Target="media/image17.jpeg" Type="http://schemas.openxmlformats.org/officeDocument/2006/relationships/image"/><Relationship Id="rId24" Target="media/image18.gif" Type="http://schemas.openxmlformats.org/officeDocument/2006/relationships/image"/><Relationship Id="rId25" Target="media/image19.jpeg" Type="http://schemas.openxmlformats.org/officeDocument/2006/relationships/image"/><Relationship Id="rId26" Target="media/image20.jpeg" Type="http://schemas.openxmlformats.org/officeDocument/2006/relationships/image"/><Relationship Id="rId27" Target="media/image21.jpeg" Type="http://schemas.openxmlformats.org/officeDocument/2006/relationships/image"/><Relationship Id="rId28" Target="media/image22.gif" Type="http://schemas.openxmlformats.org/officeDocument/2006/relationships/image"/><Relationship Id="rId29" Target="media/image23.jpeg" Type="http://schemas.openxmlformats.org/officeDocument/2006/relationships/image"/><Relationship Id="rId3" Target="settings.xml" Type="http://schemas.openxmlformats.org/officeDocument/2006/relationships/settings"/><Relationship Id="rId30" Target="media/image24.jpeg" Type="http://schemas.openxmlformats.org/officeDocument/2006/relationships/image"/><Relationship Id="rId31" Target="media/image25.jpeg" Type="http://schemas.openxmlformats.org/officeDocument/2006/relationships/image"/><Relationship Id="rId32" Target="media/image26.gif" Type="http://schemas.openxmlformats.org/officeDocument/2006/relationships/image"/><Relationship Id="rId33" Target="media/image27.jpeg" Type="http://schemas.openxmlformats.org/officeDocument/2006/relationships/image"/><Relationship Id="rId34" Target="media/image28.jpeg" Type="http://schemas.openxmlformats.org/officeDocument/2006/relationships/image"/><Relationship Id="rId35" Target="media/image29.jpeg" Type="http://schemas.openxmlformats.org/officeDocument/2006/relationships/image"/><Relationship Id="rId36" Target="media/image30.jpeg" Type="http://schemas.openxmlformats.org/officeDocument/2006/relationships/image"/><Relationship Id="rId37" Target="media/image31.jpeg" Type="http://schemas.openxmlformats.org/officeDocument/2006/relationships/image"/><Relationship Id="rId38" Target="media/image32.jpeg" Type="http://schemas.openxmlformats.org/officeDocument/2006/relationships/image"/><Relationship Id="rId39" Target="media/image33.gif" Type="http://schemas.openxmlformats.org/officeDocument/2006/relationships/image"/><Relationship Id="rId4" Target="webSettings.xml" Type="http://schemas.openxmlformats.org/officeDocument/2006/relationships/webSettings"/><Relationship Id="rId40" Target="media/image34.jpeg" Type="http://schemas.openxmlformats.org/officeDocument/2006/relationships/image"/><Relationship Id="rId41" Target="media/image35.jpeg" Type="http://schemas.openxmlformats.org/officeDocument/2006/relationships/image"/><Relationship Id="rId42" Target="media/image36.jpeg" Type="http://schemas.openxmlformats.org/officeDocument/2006/relationships/image"/><Relationship Id="rId43" Target="media/image37.gif" Type="http://schemas.openxmlformats.org/officeDocument/2006/relationships/image"/><Relationship Id="rId44" Target="media/image38.jpeg" Type="http://schemas.openxmlformats.org/officeDocument/2006/relationships/image"/><Relationship Id="rId45" Target="media/image39.jpeg" Type="http://schemas.openxmlformats.org/officeDocument/2006/relationships/image"/><Relationship Id="rId46" Target="media/image40.jpeg" Type="http://schemas.openxmlformats.org/officeDocument/2006/relationships/image"/><Relationship Id="rId47" Target="media/image41.gif" Type="http://schemas.openxmlformats.org/officeDocument/2006/relationships/image"/><Relationship Id="rId48" Target="media/image42.jpeg" Type="http://schemas.openxmlformats.org/officeDocument/2006/relationships/image"/><Relationship Id="rId49" Target="media/image43.jpeg" Type="http://schemas.openxmlformats.org/officeDocument/2006/relationships/image"/><Relationship Id="rId5" Target="footnotes.xml" Type="http://schemas.openxmlformats.org/officeDocument/2006/relationships/footnotes"/><Relationship Id="rId50" Target="media/image44.jpeg" Type="http://schemas.openxmlformats.org/officeDocument/2006/relationships/image"/><Relationship Id="rId51" Target="media/image45.jpeg" Type="http://schemas.openxmlformats.org/officeDocument/2006/relationships/image"/><Relationship Id="rId52" Target="media/image46.jpeg" Type="http://schemas.openxmlformats.org/officeDocument/2006/relationships/image"/><Relationship Id="rId53" Target="media/image47.jpeg" Type="http://schemas.openxmlformats.org/officeDocument/2006/relationships/image"/><Relationship Id="rId54" Target="media/image48.jpeg" Type="http://schemas.openxmlformats.org/officeDocument/2006/relationships/image"/><Relationship Id="rId55" Target="media/image49.jpeg" Type="http://schemas.openxmlformats.org/officeDocument/2006/relationships/image"/><Relationship Id="rId56" Target="media/image50.jpeg" Type="http://schemas.openxmlformats.org/officeDocument/2006/relationships/image"/><Relationship Id="rId57" Target="media/image51.jpeg" Type="http://schemas.openxmlformats.org/officeDocument/2006/relationships/image"/><Relationship Id="rId58" Target="media/image52.jpeg" Type="http://schemas.openxmlformats.org/officeDocument/2006/relationships/image"/><Relationship Id="rId59" Target="media/image53.jpeg" Type="http://schemas.openxmlformats.org/officeDocument/2006/relationships/image"/><Relationship Id="rId6" Target="endnotes.xml" Type="http://schemas.openxmlformats.org/officeDocument/2006/relationships/endnotes"/><Relationship Id="rId60" Target="media/image54.jpeg" Type="http://schemas.openxmlformats.org/officeDocument/2006/relationships/image"/><Relationship Id="rId61" Target="media/image55.gif" Type="http://schemas.openxmlformats.org/officeDocument/2006/relationships/image"/><Relationship Id="rId62" Target="media/image56.gif" Type="http://schemas.openxmlformats.org/officeDocument/2006/relationships/image"/><Relationship Id="rId63" Target="media/image57.gif" Type="http://schemas.openxmlformats.org/officeDocument/2006/relationships/image"/><Relationship Id="rId64" Target="media/image58.jpeg" Type="http://schemas.openxmlformats.org/officeDocument/2006/relationships/image"/><Relationship Id="rId65" Target="footer1.xml" Type="http://schemas.openxmlformats.org/officeDocument/2006/relationships/footer"/><Relationship Id="rId66" Target="fontTable.xml" Type="http://schemas.openxmlformats.org/officeDocument/2006/relationships/fontTable"/><Relationship Id="rId67" Target="theme/theme1.xml" Type="http://schemas.openxmlformats.org/officeDocument/2006/relationships/theme"/><Relationship Id="rId7" Target="media/image1.gif" Type="http://schemas.openxmlformats.org/officeDocument/2006/relationships/image"/><Relationship Id="rId8" Target="media/image2.png" Type="http://schemas.openxmlformats.org/officeDocument/2006/relationships/image"/><Relationship Id="rId9" Target="media/image3.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A5241-1544-4E66-8DB7-3ABF3E618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11583</Words>
  <Characters>67187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2026-06-10T06:05:00Z</dcterms:created>
  <dcterms:modified xsi:type="dcterms:W3CDTF">2026-06-10T06:05:00Z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2026-05-27T13:24:20Z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e97b6c5b-4bf5-41dc-a66b-62465b9db603</vt:lpwstr>
  </property>
  <property fmtid="{D5CDD505-2E9C-101B-9397-08002B2CF9AE}" pid="8" name="MSIP_Label_38962dcf-d39f-4edc-a396-338a56ba9170_ContentBits">
    <vt:lpwstr>0</vt:lpwstr>
  </property>
</Properties>
</file>